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E9F5D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40073E46" w:rsidR="00AD3A42" w:rsidRPr="00B72156" w:rsidRDefault="00151F11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Use Case Modeling</w:t>
      </w:r>
    </w:p>
    <w:p w14:paraId="3B65B7AC" w14:textId="05790648" w:rsidR="001673B6" w:rsidRPr="004A2ED8" w:rsidRDefault="00B643EA" w:rsidP="000E351A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sz w:val="28"/>
          <w:szCs w:val="28"/>
        </w:rPr>
        <w:t>November 6-7</w:t>
      </w:r>
      <w:r w:rsidR="00491A3C">
        <w:rPr>
          <w:rFonts w:ascii="Constantia" w:hAnsi="Constantia"/>
          <w:sz w:val="28"/>
          <w:szCs w:val="28"/>
        </w:rPr>
        <w:t xml:space="preserve">, </w:t>
      </w:r>
      <w:proofErr w:type="gramStart"/>
      <w:r w:rsidR="00491A3C">
        <w:rPr>
          <w:rFonts w:ascii="Constantia" w:hAnsi="Constantia"/>
          <w:sz w:val="28"/>
          <w:szCs w:val="28"/>
        </w:rPr>
        <w:t>202</w:t>
      </w:r>
      <w:r w:rsidR="005D03ED">
        <w:rPr>
          <w:rFonts w:ascii="Constantia" w:hAnsi="Constantia"/>
          <w:sz w:val="28"/>
          <w:szCs w:val="28"/>
        </w:rPr>
        <w:t>4</w:t>
      </w:r>
      <w:proofErr w:type="gramEnd"/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</w:t>
      </w:r>
      <w:r w:rsidR="006763DA" w:rsidRPr="004A2ED8">
        <w:rPr>
          <w:rFonts w:ascii="Constantia" w:hAnsi="Constantia"/>
          <w:sz w:val="28"/>
          <w:szCs w:val="28"/>
        </w:rPr>
        <w:t xml:space="preserve">pm </w:t>
      </w:r>
      <w:r w:rsidR="006763DA">
        <w:rPr>
          <w:rFonts w:ascii="Constantia" w:hAnsi="Constantia"/>
          <w:sz w:val="28"/>
          <w:szCs w:val="28"/>
        </w:rPr>
        <w:t>Virtual</w:t>
      </w:r>
    </w:p>
    <w:p w14:paraId="48440572" w14:textId="2E276ED8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4F2B67">
        <w:rPr>
          <w:rFonts w:ascii="Constantia" w:hAnsi="Constantia"/>
          <w:sz w:val="28"/>
          <w:szCs w:val="28"/>
        </w:rPr>
        <w:t>$</w:t>
      </w:r>
      <w:r w:rsidR="00B217B4">
        <w:rPr>
          <w:rFonts w:ascii="Constantia" w:hAnsi="Constantia"/>
          <w:sz w:val="28"/>
          <w:szCs w:val="28"/>
        </w:rPr>
        <w:t>260</w:t>
      </w:r>
      <w:r w:rsidR="004F2B67">
        <w:rPr>
          <w:rFonts w:ascii="Constantia" w:hAnsi="Constantia"/>
          <w:sz w:val="28"/>
          <w:szCs w:val="28"/>
        </w:rPr>
        <w:t xml:space="preserve"> </w:t>
      </w:r>
      <w:r w:rsidR="00563832" w:rsidRPr="004A2ED8">
        <w:rPr>
          <w:rFonts w:ascii="Constantia" w:hAnsi="Constantia"/>
          <w:sz w:val="28"/>
          <w:szCs w:val="28"/>
        </w:rPr>
        <w:t>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4F2B67">
        <w:rPr>
          <w:rFonts w:ascii="Constantia" w:hAnsi="Constantia"/>
          <w:sz w:val="28"/>
          <w:szCs w:val="28"/>
        </w:rPr>
        <w:t xml:space="preserve"> 1</w:t>
      </w:r>
      <w:r w:rsidR="00B643EA">
        <w:rPr>
          <w:rFonts w:ascii="Constantia" w:hAnsi="Constantia"/>
          <w:sz w:val="28"/>
          <w:szCs w:val="28"/>
        </w:rPr>
        <w:t>3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32721464" w14:textId="783F3775" w:rsidR="0069789B" w:rsidRDefault="00A405C2" w:rsidP="00A405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hands-on, interactive two-day course will help participants examine the</w:t>
      </w:r>
      <w:r w:rsidR="00B308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fundamentals of Use Case Modeling and its application for gathering requirements in the project</w:t>
      </w:r>
      <w:r w:rsidR="00B308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life cycle. This course will present extensive, iterative Use Case Modeling methodology, including</w:t>
      </w:r>
      <w:r w:rsidR="00B308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identification, development, and implementation. Students will participate in Use Case processes,</w:t>
      </w:r>
      <w:r w:rsidR="00B308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examine the importance/impact of Use Cases, and gain the skills necessary to utilize Use Case</w:t>
      </w:r>
      <w:r w:rsidR="00B308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Modeling effectively as a requirement gathering tool.</w:t>
      </w:r>
    </w:p>
    <w:p w14:paraId="1820315F" w14:textId="77777777" w:rsidR="00B3081E" w:rsidRPr="008F7E97" w:rsidRDefault="00B3081E" w:rsidP="00A405C2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44EA03EE" w14:textId="6CD6EA9E" w:rsidR="00033261" w:rsidRDefault="00BA3AA1" w:rsidP="006B62C0">
      <w:pPr>
        <w:spacing w:after="0"/>
        <w:rPr>
          <w:rFonts w:ascii="Constantia" w:hAnsi="Constantia"/>
          <w:b/>
          <w:i/>
          <w:sz w:val="28"/>
          <w:szCs w:val="28"/>
          <w:u w:val="single"/>
        </w:rPr>
      </w:pPr>
      <w:r>
        <w:rPr>
          <w:rFonts w:ascii="Constantia" w:hAnsi="Constantia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9" o:title=""/>
          </v:shape>
        </w:pict>
      </w:r>
      <w:r w:rsidR="00351A71" w:rsidRPr="004A7D38">
        <w:rPr>
          <w:rFonts w:ascii="Constantia" w:hAnsi="Constantia"/>
          <w:b/>
          <w:i/>
          <w:sz w:val="28"/>
          <w:szCs w:val="28"/>
          <w:u w:val="single"/>
        </w:rPr>
        <w:t>Objectives</w:t>
      </w:r>
    </w:p>
    <w:p w14:paraId="0BF3B1DA" w14:textId="2D933E99" w:rsidR="00EF7656" w:rsidRDefault="00EA63E0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 xml:space="preserve">Define what constitutes a quality requirement and what purpose it </w:t>
      </w:r>
      <w:proofErr w:type="gramStart"/>
      <w:r>
        <w:rPr>
          <w:rFonts w:ascii="Constantia" w:hAnsi="Constantia"/>
          <w:bCs/>
          <w:iCs/>
        </w:rPr>
        <w:t>serves</w:t>
      </w:r>
      <w:proofErr w:type="gramEnd"/>
    </w:p>
    <w:p w14:paraId="069C4F46" w14:textId="386C44CA" w:rsidR="00876027" w:rsidRDefault="00876027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 xml:space="preserve">Examine guiding principles for gathering quality </w:t>
      </w:r>
      <w:proofErr w:type="gramStart"/>
      <w:r>
        <w:rPr>
          <w:rFonts w:ascii="Constantia" w:hAnsi="Constantia"/>
          <w:bCs/>
          <w:iCs/>
        </w:rPr>
        <w:t>requirements</w:t>
      </w:r>
      <w:proofErr w:type="gramEnd"/>
    </w:p>
    <w:p w14:paraId="544A8903" w14:textId="442B9E64" w:rsidR="00876027" w:rsidRDefault="00876027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 xml:space="preserve">Examine the challenges of effective requirements </w:t>
      </w:r>
      <w:proofErr w:type="gramStart"/>
      <w:r>
        <w:rPr>
          <w:rFonts w:ascii="Constantia" w:hAnsi="Constantia"/>
          <w:bCs/>
          <w:iCs/>
        </w:rPr>
        <w:t>gathering</w:t>
      </w:r>
      <w:proofErr w:type="gramEnd"/>
    </w:p>
    <w:p w14:paraId="17CDA3C0" w14:textId="6BCC9EF0" w:rsidR="00836D77" w:rsidRDefault="00836D77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 xml:space="preserve">Examine classic mistakes made in gathering </w:t>
      </w:r>
      <w:proofErr w:type="gramStart"/>
      <w:r>
        <w:rPr>
          <w:rFonts w:ascii="Constantia" w:hAnsi="Constantia"/>
          <w:bCs/>
          <w:iCs/>
        </w:rPr>
        <w:t>requirements</w:t>
      </w:r>
      <w:proofErr w:type="gramEnd"/>
    </w:p>
    <w:p w14:paraId="5528AABB" w14:textId="07537567" w:rsidR="00836D77" w:rsidRDefault="00836D77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 xml:space="preserve">Examine the difference between functional and non-functional </w:t>
      </w:r>
      <w:proofErr w:type="gramStart"/>
      <w:r>
        <w:rPr>
          <w:rFonts w:ascii="Constantia" w:hAnsi="Constantia"/>
          <w:bCs/>
          <w:iCs/>
        </w:rPr>
        <w:t>requirements</w:t>
      </w:r>
      <w:proofErr w:type="gramEnd"/>
    </w:p>
    <w:p w14:paraId="49FF5E00" w14:textId="22CF0D89" w:rsidR="00836D77" w:rsidRDefault="00553189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 xml:space="preserve">Discuss the “black box” mentality of users and its implications on requirements </w:t>
      </w:r>
      <w:proofErr w:type="gramStart"/>
      <w:r>
        <w:rPr>
          <w:rFonts w:ascii="Constantia" w:hAnsi="Constantia"/>
          <w:bCs/>
          <w:iCs/>
        </w:rPr>
        <w:t>gathering</w:t>
      </w:r>
      <w:proofErr w:type="gramEnd"/>
    </w:p>
    <w:p w14:paraId="4ACF92A4" w14:textId="2D70F9C4" w:rsidR="00553189" w:rsidRDefault="00553189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>Compare/Contra</w:t>
      </w:r>
      <w:r w:rsidR="003A3A03">
        <w:rPr>
          <w:rFonts w:ascii="Constantia" w:hAnsi="Constantia"/>
          <w:bCs/>
          <w:iCs/>
        </w:rPr>
        <w:t xml:space="preserve">st software development project life cycle </w:t>
      </w:r>
      <w:proofErr w:type="gramStart"/>
      <w:r w:rsidR="003A3A03">
        <w:rPr>
          <w:rFonts w:ascii="Constantia" w:hAnsi="Constantia"/>
          <w:bCs/>
          <w:iCs/>
        </w:rPr>
        <w:t>models</w:t>
      </w:r>
      <w:proofErr w:type="gramEnd"/>
    </w:p>
    <w:p w14:paraId="17B4AC94" w14:textId="3BBDB789" w:rsidR="003A3A03" w:rsidRDefault="003A3A03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>Examine the “4+</w:t>
      </w:r>
      <w:r w:rsidR="007C4DFE">
        <w:rPr>
          <w:rFonts w:ascii="Constantia" w:hAnsi="Constantia"/>
          <w:bCs/>
          <w:iCs/>
        </w:rPr>
        <w:t xml:space="preserve">1” view of software </w:t>
      </w:r>
      <w:proofErr w:type="gramStart"/>
      <w:r w:rsidR="007C4DFE">
        <w:rPr>
          <w:rFonts w:ascii="Constantia" w:hAnsi="Constantia"/>
          <w:bCs/>
          <w:iCs/>
        </w:rPr>
        <w:t>architecture</w:t>
      </w:r>
      <w:proofErr w:type="gramEnd"/>
    </w:p>
    <w:p w14:paraId="68D47FB5" w14:textId="323F5595" w:rsidR="007C4DFE" w:rsidRDefault="007C4DFE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>Compare/Contrast</w:t>
      </w:r>
      <w:r w:rsidR="002D4303">
        <w:rPr>
          <w:rFonts w:ascii="Constantia" w:hAnsi="Constantia"/>
          <w:bCs/>
          <w:iCs/>
        </w:rPr>
        <w:t xml:space="preserve"> traditional requirements gathering techniques with Use Case Modeling</w:t>
      </w:r>
    </w:p>
    <w:p w14:paraId="6F11A0C2" w14:textId="3B30A113" w:rsidR="001E4FCE" w:rsidRDefault="001E4FCE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>Examine the benefits of Use Case Modeling</w:t>
      </w:r>
    </w:p>
    <w:p w14:paraId="41323644" w14:textId="524A3621" w:rsidR="001E4FCE" w:rsidRDefault="001E4FCE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>Define who benefits from Use Case Modeling</w:t>
      </w:r>
    </w:p>
    <w:p w14:paraId="47156299" w14:textId="5D999F5C" w:rsidR="001E4FCE" w:rsidRDefault="001E4FCE" w:rsidP="00E52895">
      <w:pPr>
        <w:pStyle w:val="ListParagraph"/>
        <w:numPr>
          <w:ilvl w:val="0"/>
          <w:numId w:val="11"/>
        </w:numPr>
        <w:spacing w:after="0"/>
        <w:rPr>
          <w:rFonts w:ascii="Constantia" w:hAnsi="Constantia"/>
          <w:bCs/>
          <w:iCs/>
        </w:rPr>
      </w:pPr>
      <w:r>
        <w:rPr>
          <w:rFonts w:ascii="Constantia" w:hAnsi="Constantia"/>
          <w:bCs/>
          <w:iCs/>
        </w:rPr>
        <w:t>List the goals of</w:t>
      </w:r>
      <w:r w:rsidR="009C4A5F">
        <w:rPr>
          <w:rFonts w:ascii="Constantia" w:hAnsi="Constantia"/>
          <w:bCs/>
          <w:iCs/>
        </w:rPr>
        <w:t xml:space="preserve"> Use Cases</w:t>
      </w:r>
    </w:p>
    <w:p w14:paraId="7DF11457" w14:textId="20C6C11B" w:rsidR="006763DA" w:rsidRPr="007C0E48" w:rsidRDefault="006763DA" w:rsidP="00EA63E0">
      <w:pPr>
        <w:pStyle w:val="ListParagraph"/>
        <w:spacing w:after="0"/>
        <w:rPr>
          <w:rFonts w:ascii="Constantia" w:hAnsi="Constantia"/>
          <w:bCs/>
          <w:iCs/>
        </w:rPr>
      </w:pPr>
    </w:p>
    <w:p w14:paraId="20C426E6" w14:textId="126DD936" w:rsidR="00FC6D04" w:rsidRPr="00FC6D04" w:rsidRDefault="00456A5F" w:rsidP="00FC6D04">
      <w:pPr>
        <w:pStyle w:val="ListParagraph"/>
        <w:numPr>
          <w:ilvl w:val="0"/>
          <w:numId w:val="12"/>
        </w:numPr>
        <w:spacing w:after="0"/>
        <w:rPr>
          <w:rFonts w:ascii="Constantia" w:hAnsi="Constantia"/>
          <w:sz w:val="24"/>
          <w:szCs w:val="24"/>
        </w:rPr>
      </w:pPr>
      <w:r w:rsidRPr="00FC6D04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Pr="00FC6D04">
        <w:rPr>
          <w:rFonts w:ascii="Constantia" w:hAnsi="Constantia"/>
          <w:b/>
          <w:sz w:val="32"/>
          <w:szCs w:val="32"/>
        </w:rPr>
        <w:t xml:space="preserve"> </w:t>
      </w:r>
      <w:r w:rsidR="00EA013D" w:rsidRPr="00FC6D04">
        <w:rPr>
          <w:rFonts w:ascii="Constantia" w:hAnsi="Constantia"/>
          <w:sz w:val="24"/>
          <w:szCs w:val="24"/>
        </w:rPr>
        <w:t>Please register through our KITO website</w:t>
      </w:r>
      <w:r w:rsidR="009D616C" w:rsidRPr="00FC6D04">
        <w:rPr>
          <w:rFonts w:ascii="Constantia" w:hAnsi="Constantia"/>
          <w:sz w:val="24"/>
          <w:szCs w:val="24"/>
        </w:rPr>
        <w:t>:</w:t>
      </w:r>
      <w:r w:rsidR="00FC6D04" w:rsidRPr="00FC6D04">
        <w:rPr>
          <w:rFonts w:ascii="Constantia" w:hAnsi="Constantia"/>
          <w:sz w:val="24"/>
          <w:szCs w:val="24"/>
        </w:rPr>
        <w:t xml:space="preserve"> </w:t>
      </w:r>
      <w:hyperlink r:id="rId10" w:history="1">
        <w:r w:rsidR="00FC6D04" w:rsidRPr="003221CE">
          <w:rPr>
            <w:rStyle w:val="Hyperlink"/>
            <w:rFonts w:ascii="Constantia" w:hAnsi="Constantia"/>
            <w:sz w:val="24"/>
            <w:szCs w:val="24"/>
          </w:rPr>
          <w:t>ebit.ks.gov/</w:t>
        </w:r>
        <w:proofErr w:type="spellStart"/>
        <w:r w:rsidR="00FC6D04" w:rsidRPr="003221CE">
          <w:rPr>
            <w:rStyle w:val="Hyperlink"/>
            <w:rFonts w:ascii="Constantia" w:hAnsi="Constantia"/>
            <w:sz w:val="24"/>
            <w:szCs w:val="24"/>
          </w:rPr>
          <w:t>kito</w:t>
        </w:r>
        <w:proofErr w:type="spellEnd"/>
        <w:r w:rsidR="00FC6D04" w:rsidRPr="003221CE">
          <w:rPr>
            <w:rStyle w:val="Hyperlink"/>
            <w:rFonts w:ascii="Constantia" w:hAnsi="Constantia"/>
            <w:sz w:val="24"/>
            <w:szCs w:val="24"/>
          </w:rPr>
          <w:t xml:space="preserve">/training </w:t>
        </w:r>
      </w:hyperlink>
      <w:r w:rsidR="00FC6D04">
        <w:rPr>
          <w:rFonts w:ascii="Constantia" w:hAnsi="Constantia"/>
          <w:sz w:val="24"/>
          <w:szCs w:val="24"/>
        </w:rPr>
        <w:t xml:space="preserve"> </w:t>
      </w:r>
    </w:p>
    <w:p w14:paraId="70371FE1" w14:textId="5B3D88ED" w:rsidR="00F97146" w:rsidRDefault="009D616C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sz w:val="24"/>
          <w:szCs w:val="24"/>
        </w:rPr>
        <w:t xml:space="preserve">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online and email to </w:t>
      </w:r>
      <w:hyperlink r:id="rId11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proofErr w:type="gramStart"/>
      <w:r w:rsidR="005B1837" w:rsidRPr="008F7E97">
        <w:rPr>
          <w:rFonts w:ascii="Constantia" w:hAnsi="Constantia"/>
          <w:sz w:val="24"/>
          <w:szCs w:val="24"/>
        </w:rPr>
        <w:t>questions</w:t>
      </w:r>
      <w:proofErr w:type="gramEnd"/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6229C0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2" w:history="1">
        <w:r w:rsidR="006229C0" w:rsidRPr="00C67FDF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270F49DC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>Cancelations up to 20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>. Less than 20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CB558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4AD1D85A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3C10BB">
        <w:rPr>
          <w:rFonts w:ascii="Constantia" w:hAnsi="Constantia"/>
          <w:sz w:val="20"/>
          <w:szCs w:val="20"/>
        </w:rPr>
        <w:t>6 Leadership</w:t>
      </w:r>
      <w:r w:rsidR="00EC7A16">
        <w:rPr>
          <w:rFonts w:ascii="Constantia" w:hAnsi="Constantia"/>
          <w:sz w:val="20"/>
          <w:szCs w:val="20"/>
        </w:rPr>
        <w:t>=</w:t>
      </w:r>
      <w:r w:rsidR="004F2B67">
        <w:rPr>
          <w:rFonts w:ascii="Constantia" w:hAnsi="Constantia"/>
          <w:sz w:val="20"/>
          <w:szCs w:val="20"/>
        </w:rPr>
        <w:t>11.</w:t>
      </w:r>
      <w:proofErr w:type="gramStart"/>
      <w:r w:rsidR="00F06494">
        <w:rPr>
          <w:rFonts w:ascii="Constantia" w:hAnsi="Constantia"/>
          <w:sz w:val="20"/>
          <w:szCs w:val="20"/>
        </w:rPr>
        <w:t>5  Strategic</w:t>
      </w:r>
      <w:proofErr w:type="gramEnd"/>
      <w:r w:rsidR="00EC7A16">
        <w:rPr>
          <w:rFonts w:ascii="Constantia" w:hAnsi="Constantia"/>
          <w:sz w:val="20"/>
          <w:szCs w:val="20"/>
        </w:rPr>
        <w:t>=</w:t>
      </w:r>
      <w:r w:rsidR="00F06494">
        <w:rPr>
          <w:rFonts w:ascii="Constantia" w:hAnsi="Constantia"/>
          <w:sz w:val="20"/>
          <w:szCs w:val="20"/>
        </w:rPr>
        <w:t xml:space="preserve"> </w:t>
      </w:r>
      <w:r w:rsidR="00EC7A16">
        <w:rPr>
          <w:rFonts w:ascii="Constantia" w:hAnsi="Constantia"/>
          <w:sz w:val="20"/>
          <w:szCs w:val="20"/>
        </w:rPr>
        <w:t>2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0F903DCE"/>
    <w:multiLevelType w:val="hybridMultilevel"/>
    <w:tmpl w:val="91BEAB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433"/>
    <w:multiLevelType w:val="hybridMultilevel"/>
    <w:tmpl w:val="9220721E"/>
    <w:lvl w:ilvl="0" w:tplc="60B6BB5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B42C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9A620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A02BA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24871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04A1A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1820C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32D0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A9C49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E5BC9"/>
    <w:multiLevelType w:val="hybridMultilevel"/>
    <w:tmpl w:val="70BA04A4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2842976">
    <w:abstractNumId w:val="8"/>
  </w:num>
  <w:num w:numId="2" w16cid:durableId="1468668359">
    <w:abstractNumId w:val="3"/>
  </w:num>
  <w:num w:numId="3" w16cid:durableId="175660830">
    <w:abstractNumId w:val="10"/>
  </w:num>
  <w:num w:numId="4" w16cid:durableId="457800480">
    <w:abstractNumId w:val="1"/>
  </w:num>
  <w:num w:numId="5" w16cid:durableId="1705714213">
    <w:abstractNumId w:val="6"/>
  </w:num>
  <w:num w:numId="6" w16cid:durableId="981933478">
    <w:abstractNumId w:val="11"/>
  </w:num>
  <w:num w:numId="7" w16cid:durableId="923225775">
    <w:abstractNumId w:val="9"/>
  </w:num>
  <w:num w:numId="8" w16cid:durableId="888612082">
    <w:abstractNumId w:val="5"/>
  </w:num>
  <w:num w:numId="9" w16cid:durableId="508907128">
    <w:abstractNumId w:val="7"/>
  </w:num>
  <w:num w:numId="10" w16cid:durableId="202253875">
    <w:abstractNumId w:val="0"/>
  </w:num>
  <w:num w:numId="11" w16cid:durableId="1389651438">
    <w:abstractNumId w:val="4"/>
  </w:num>
  <w:num w:numId="12" w16cid:durableId="152837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yMbIwNAeyDE0MDJR0lIJTi4sz8/NACoxrAfiG87QsAAAA"/>
  </w:docVars>
  <w:rsids>
    <w:rsidRoot w:val="00D27E2A"/>
    <w:rsid w:val="00015B48"/>
    <w:rsid w:val="0002198A"/>
    <w:rsid w:val="00033261"/>
    <w:rsid w:val="0004312E"/>
    <w:rsid w:val="000520C0"/>
    <w:rsid w:val="0005400D"/>
    <w:rsid w:val="000748E1"/>
    <w:rsid w:val="00074D43"/>
    <w:rsid w:val="000850F7"/>
    <w:rsid w:val="0009074E"/>
    <w:rsid w:val="000A43AF"/>
    <w:rsid w:val="000A4E20"/>
    <w:rsid w:val="000A7EAA"/>
    <w:rsid w:val="000C41CB"/>
    <w:rsid w:val="000C612E"/>
    <w:rsid w:val="000E351A"/>
    <w:rsid w:val="00121955"/>
    <w:rsid w:val="00124253"/>
    <w:rsid w:val="001454F0"/>
    <w:rsid w:val="00145FBE"/>
    <w:rsid w:val="00151F11"/>
    <w:rsid w:val="00151F38"/>
    <w:rsid w:val="001534FD"/>
    <w:rsid w:val="00157B7D"/>
    <w:rsid w:val="0016253E"/>
    <w:rsid w:val="001673B6"/>
    <w:rsid w:val="00176BA5"/>
    <w:rsid w:val="001A002D"/>
    <w:rsid w:val="001A7603"/>
    <w:rsid w:val="001B13AC"/>
    <w:rsid w:val="001B2627"/>
    <w:rsid w:val="001B4439"/>
    <w:rsid w:val="001B73D4"/>
    <w:rsid w:val="001C34AD"/>
    <w:rsid w:val="001D34A6"/>
    <w:rsid w:val="001E4FCE"/>
    <w:rsid w:val="001E5F16"/>
    <w:rsid w:val="001F0449"/>
    <w:rsid w:val="001F545F"/>
    <w:rsid w:val="00206284"/>
    <w:rsid w:val="00207712"/>
    <w:rsid w:val="002118BA"/>
    <w:rsid w:val="00225166"/>
    <w:rsid w:val="002355A1"/>
    <w:rsid w:val="00236CAC"/>
    <w:rsid w:val="00277362"/>
    <w:rsid w:val="00277A1F"/>
    <w:rsid w:val="00285256"/>
    <w:rsid w:val="00295BDF"/>
    <w:rsid w:val="00296952"/>
    <w:rsid w:val="002D4303"/>
    <w:rsid w:val="002F5AE7"/>
    <w:rsid w:val="00300A7C"/>
    <w:rsid w:val="0030745C"/>
    <w:rsid w:val="003075F9"/>
    <w:rsid w:val="003221CE"/>
    <w:rsid w:val="003301FE"/>
    <w:rsid w:val="00351A71"/>
    <w:rsid w:val="003531DE"/>
    <w:rsid w:val="00355924"/>
    <w:rsid w:val="0035755F"/>
    <w:rsid w:val="003575FD"/>
    <w:rsid w:val="00357A14"/>
    <w:rsid w:val="0036413D"/>
    <w:rsid w:val="00366C9F"/>
    <w:rsid w:val="00370E85"/>
    <w:rsid w:val="003728BE"/>
    <w:rsid w:val="003744E8"/>
    <w:rsid w:val="00375563"/>
    <w:rsid w:val="003855C1"/>
    <w:rsid w:val="00386F04"/>
    <w:rsid w:val="003957EF"/>
    <w:rsid w:val="003A3A03"/>
    <w:rsid w:val="003A48B1"/>
    <w:rsid w:val="003C10BB"/>
    <w:rsid w:val="003C3635"/>
    <w:rsid w:val="003C4AC3"/>
    <w:rsid w:val="003C7A21"/>
    <w:rsid w:val="003D46D7"/>
    <w:rsid w:val="003E0CED"/>
    <w:rsid w:val="003F7F4A"/>
    <w:rsid w:val="00417F51"/>
    <w:rsid w:val="0042410A"/>
    <w:rsid w:val="00456A5F"/>
    <w:rsid w:val="00463A01"/>
    <w:rsid w:val="00463C90"/>
    <w:rsid w:val="00467CB6"/>
    <w:rsid w:val="00487C4B"/>
    <w:rsid w:val="0049199D"/>
    <w:rsid w:val="00491A3C"/>
    <w:rsid w:val="004A0913"/>
    <w:rsid w:val="004A2ED8"/>
    <w:rsid w:val="004A4D64"/>
    <w:rsid w:val="004A7D38"/>
    <w:rsid w:val="004B5DC4"/>
    <w:rsid w:val="004C6DBB"/>
    <w:rsid w:val="004C76AB"/>
    <w:rsid w:val="004E3488"/>
    <w:rsid w:val="004F2B67"/>
    <w:rsid w:val="004F509F"/>
    <w:rsid w:val="00504571"/>
    <w:rsid w:val="00504C6E"/>
    <w:rsid w:val="00553189"/>
    <w:rsid w:val="00560C96"/>
    <w:rsid w:val="00563832"/>
    <w:rsid w:val="00575503"/>
    <w:rsid w:val="00582532"/>
    <w:rsid w:val="00584D63"/>
    <w:rsid w:val="00594203"/>
    <w:rsid w:val="00594E88"/>
    <w:rsid w:val="005B1837"/>
    <w:rsid w:val="005B393C"/>
    <w:rsid w:val="005D03ED"/>
    <w:rsid w:val="005D2B70"/>
    <w:rsid w:val="005E0724"/>
    <w:rsid w:val="005E1254"/>
    <w:rsid w:val="005E2696"/>
    <w:rsid w:val="005E4188"/>
    <w:rsid w:val="0060529C"/>
    <w:rsid w:val="006117B2"/>
    <w:rsid w:val="00611D36"/>
    <w:rsid w:val="00622528"/>
    <w:rsid w:val="006229C0"/>
    <w:rsid w:val="00633893"/>
    <w:rsid w:val="00646BFF"/>
    <w:rsid w:val="006474D1"/>
    <w:rsid w:val="006504C7"/>
    <w:rsid w:val="00661461"/>
    <w:rsid w:val="006763DA"/>
    <w:rsid w:val="00676DDF"/>
    <w:rsid w:val="0069789B"/>
    <w:rsid w:val="006A7485"/>
    <w:rsid w:val="006B62C0"/>
    <w:rsid w:val="006E38A3"/>
    <w:rsid w:val="006F08DE"/>
    <w:rsid w:val="006F1D5D"/>
    <w:rsid w:val="00704CB8"/>
    <w:rsid w:val="00732BEB"/>
    <w:rsid w:val="00762620"/>
    <w:rsid w:val="00764270"/>
    <w:rsid w:val="00774039"/>
    <w:rsid w:val="0078375C"/>
    <w:rsid w:val="00784E8E"/>
    <w:rsid w:val="00797F16"/>
    <w:rsid w:val="007A0E31"/>
    <w:rsid w:val="007A2464"/>
    <w:rsid w:val="007A476C"/>
    <w:rsid w:val="007C0E48"/>
    <w:rsid w:val="007C4DFE"/>
    <w:rsid w:val="007C6642"/>
    <w:rsid w:val="007E027C"/>
    <w:rsid w:val="007F63F0"/>
    <w:rsid w:val="008043A2"/>
    <w:rsid w:val="00805EE7"/>
    <w:rsid w:val="0080612E"/>
    <w:rsid w:val="00836D77"/>
    <w:rsid w:val="00855465"/>
    <w:rsid w:val="00863FAC"/>
    <w:rsid w:val="00872406"/>
    <w:rsid w:val="00876027"/>
    <w:rsid w:val="0089153C"/>
    <w:rsid w:val="008917C5"/>
    <w:rsid w:val="008B7C34"/>
    <w:rsid w:val="008C4071"/>
    <w:rsid w:val="008E3C81"/>
    <w:rsid w:val="008F69DA"/>
    <w:rsid w:val="008F7E97"/>
    <w:rsid w:val="009262E8"/>
    <w:rsid w:val="0093273B"/>
    <w:rsid w:val="009566A1"/>
    <w:rsid w:val="009632AB"/>
    <w:rsid w:val="00964B89"/>
    <w:rsid w:val="00973A69"/>
    <w:rsid w:val="009C3628"/>
    <w:rsid w:val="009C4A5F"/>
    <w:rsid w:val="009D616C"/>
    <w:rsid w:val="009E71F5"/>
    <w:rsid w:val="009F15CC"/>
    <w:rsid w:val="009F2830"/>
    <w:rsid w:val="009F500F"/>
    <w:rsid w:val="00A03604"/>
    <w:rsid w:val="00A0518E"/>
    <w:rsid w:val="00A11DEB"/>
    <w:rsid w:val="00A2067B"/>
    <w:rsid w:val="00A405C2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6A8C"/>
    <w:rsid w:val="00AB717C"/>
    <w:rsid w:val="00AC1F22"/>
    <w:rsid w:val="00AC5A25"/>
    <w:rsid w:val="00AD3A42"/>
    <w:rsid w:val="00AE1047"/>
    <w:rsid w:val="00AF2B7A"/>
    <w:rsid w:val="00B05B68"/>
    <w:rsid w:val="00B06E24"/>
    <w:rsid w:val="00B12B83"/>
    <w:rsid w:val="00B217B4"/>
    <w:rsid w:val="00B23378"/>
    <w:rsid w:val="00B3081E"/>
    <w:rsid w:val="00B5192A"/>
    <w:rsid w:val="00B54CF9"/>
    <w:rsid w:val="00B643EA"/>
    <w:rsid w:val="00B66662"/>
    <w:rsid w:val="00B72156"/>
    <w:rsid w:val="00B76506"/>
    <w:rsid w:val="00B8608F"/>
    <w:rsid w:val="00BB775A"/>
    <w:rsid w:val="00BC78A2"/>
    <w:rsid w:val="00BD4E24"/>
    <w:rsid w:val="00BD50EC"/>
    <w:rsid w:val="00BE3F60"/>
    <w:rsid w:val="00C00BAF"/>
    <w:rsid w:val="00C069F6"/>
    <w:rsid w:val="00C3713A"/>
    <w:rsid w:val="00C4765E"/>
    <w:rsid w:val="00C52FCD"/>
    <w:rsid w:val="00C76B3F"/>
    <w:rsid w:val="00C905D1"/>
    <w:rsid w:val="00C95C6C"/>
    <w:rsid w:val="00C96111"/>
    <w:rsid w:val="00CA2BDD"/>
    <w:rsid w:val="00CD588A"/>
    <w:rsid w:val="00D0454B"/>
    <w:rsid w:val="00D22F3D"/>
    <w:rsid w:val="00D24564"/>
    <w:rsid w:val="00D27E2A"/>
    <w:rsid w:val="00D36274"/>
    <w:rsid w:val="00D4202D"/>
    <w:rsid w:val="00D5342B"/>
    <w:rsid w:val="00D7598A"/>
    <w:rsid w:val="00D935C8"/>
    <w:rsid w:val="00DB0BDB"/>
    <w:rsid w:val="00DB40F6"/>
    <w:rsid w:val="00DB7075"/>
    <w:rsid w:val="00DD2D2B"/>
    <w:rsid w:val="00DF1DA8"/>
    <w:rsid w:val="00E1599C"/>
    <w:rsid w:val="00E216F3"/>
    <w:rsid w:val="00E32160"/>
    <w:rsid w:val="00E5092E"/>
    <w:rsid w:val="00E52895"/>
    <w:rsid w:val="00E55C1D"/>
    <w:rsid w:val="00E60C31"/>
    <w:rsid w:val="00E80A1D"/>
    <w:rsid w:val="00E81306"/>
    <w:rsid w:val="00E8226C"/>
    <w:rsid w:val="00E9016E"/>
    <w:rsid w:val="00E90A1B"/>
    <w:rsid w:val="00E91507"/>
    <w:rsid w:val="00EA013D"/>
    <w:rsid w:val="00EA63E0"/>
    <w:rsid w:val="00EB2A7C"/>
    <w:rsid w:val="00EB4EDC"/>
    <w:rsid w:val="00EB5497"/>
    <w:rsid w:val="00EB7B1E"/>
    <w:rsid w:val="00EC7A16"/>
    <w:rsid w:val="00EC7B26"/>
    <w:rsid w:val="00EF7656"/>
    <w:rsid w:val="00F0439F"/>
    <w:rsid w:val="00F06494"/>
    <w:rsid w:val="00F17E95"/>
    <w:rsid w:val="00F2500C"/>
    <w:rsid w:val="00F54790"/>
    <w:rsid w:val="00F82D3A"/>
    <w:rsid w:val="00F9159E"/>
    <w:rsid w:val="00F97146"/>
    <w:rsid w:val="00FA38C0"/>
    <w:rsid w:val="00FA4B72"/>
    <w:rsid w:val="00FC6D04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76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4C44E-FF2C-4AF1-8587-B5F4B78FB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799ED-AEEE-4E00-B4F3-46F018B43033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3.xml><?xml version="1.0" encoding="utf-8"?>
<ds:datastoreItem xmlns:ds="http://schemas.openxmlformats.org/officeDocument/2006/customXml" ds:itemID="{4AD669A9-4773-4681-8DF0-41E19287E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2</cp:revision>
  <cp:lastPrinted>2019-10-30T13:50:00Z</cp:lastPrinted>
  <dcterms:created xsi:type="dcterms:W3CDTF">2024-01-25T20:41:00Z</dcterms:created>
  <dcterms:modified xsi:type="dcterms:W3CDTF">2024-01-25T20:41:00Z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