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39D" w:rsidRPr="000428AF" w:rsidRDefault="00AA0EEF" w:rsidP="001332B8">
      <w:pPr>
        <w:jc w:val="center"/>
        <w:rPr>
          <w:b/>
          <w:sz w:val="24"/>
        </w:rPr>
      </w:pPr>
      <w:r>
        <w:rPr>
          <w:b/>
          <w:sz w:val="24"/>
        </w:rPr>
        <w:t>OCSE</w:t>
      </w:r>
      <w:r w:rsidR="003E6820">
        <w:rPr>
          <w:b/>
          <w:sz w:val="24"/>
        </w:rPr>
        <w:t xml:space="preserve"> Requirements</w:t>
      </w:r>
      <w:r>
        <w:rPr>
          <w:b/>
          <w:sz w:val="24"/>
        </w:rPr>
        <w:t xml:space="preserve"> for National Directory of New Hires (NDNH)</w:t>
      </w:r>
      <w:r w:rsidR="003E6820">
        <w:rPr>
          <w:b/>
          <w:sz w:val="24"/>
        </w:rPr>
        <w:t xml:space="preserve"> for </w:t>
      </w:r>
      <w:r w:rsidR="008149D1" w:rsidRPr="000428AF">
        <w:rPr>
          <w:b/>
          <w:sz w:val="24"/>
        </w:rPr>
        <w:t xml:space="preserve">General </w:t>
      </w:r>
      <w:r w:rsidR="001332B8" w:rsidRPr="000428AF">
        <w:rPr>
          <w:b/>
          <w:sz w:val="24"/>
        </w:rPr>
        <w:t xml:space="preserve">Information Technology </w:t>
      </w:r>
      <w:r w:rsidR="008149D1" w:rsidRPr="000428AF">
        <w:rPr>
          <w:b/>
          <w:sz w:val="24"/>
        </w:rPr>
        <w:t>Services</w:t>
      </w:r>
    </w:p>
    <w:p w:rsidR="001332B8" w:rsidRPr="000428AF" w:rsidRDefault="008149D1">
      <w:pPr>
        <w:rPr>
          <w:sz w:val="24"/>
        </w:rPr>
      </w:pPr>
      <w:r w:rsidRPr="000428AF">
        <w:rPr>
          <w:sz w:val="24"/>
        </w:rPr>
        <w:t xml:space="preserve">Performance. </w:t>
      </w:r>
    </w:p>
    <w:p w:rsidR="008149D1" w:rsidRPr="000428AF" w:rsidRDefault="008149D1">
      <w:pPr>
        <w:rPr>
          <w:sz w:val="24"/>
        </w:rPr>
      </w:pPr>
      <w:r w:rsidRPr="000428AF">
        <w:rPr>
          <w:sz w:val="24"/>
        </w:rPr>
        <w:t xml:space="preserve">Where Customer declares that the data subject to this Agreement includes information </w:t>
      </w:r>
      <w:r w:rsidR="00AA0EEF">
        <w:rPr>
          <w:sz w:val="24"/>
        </w:rPr>
        <w:t xml:space="preserve">National Directory of New Hires (NDNH) information </w:t>
      </w:r>
      <w:r w:rsidRPr="000428AF">
        <w:rPr>
          <w:sz w:val="24"/>
        </w:rPr>
        <w:t xml:space="preserve">provided by the </w:t>
      </w:r>
      <w:r w:rsidR="00AA0EEF">
        <w:rPr>
          <w:sz w:val="24"/>
        </w:rPr>
        <w:t>Federal Office of Child Support Enforcement (OCSE)</w:t>
      </w:r>
      <w:r w:rsidRPr="000428AF">
        <w:rPr>
          <w:sz w:val="24"/>
        </w:rPr>
        <w:t xml:space="preserve"> and in the performance of this </w:t>
      </w:r>
      <w:r w:rsidR="008F1CC1">
        <w:rPr>
          <w:sz w:val="24"/>
        </w:rPr>
        <w:t>Agreement</w:t>
      </w:r>
      <w:r w:rsidRPr="000428AF">
        <w:rPr>
          <w:sz w:val="24"/>
        </w:rPr>
        <w:t xml:space="preserve">, the </w:t>
      </w:r>
      <w:r w:rsidR="008F1CC1">
        <w:rPr>
          <w:sz w:val="24"/>
        </w:rPr>
        <w:t>Service Provider</w:t>
      </w:r>
      <w:r w:rsidRPr="000428AF">
        <w:rPr>
          <w:sz w:val="24"/>
        </w:rPr>
        <w:t xml:space="preserve"> agrees to comply with and assume responsibility for compliance of </w:t>
      </w:r>
      <w:r w:rsidR="008F1CC1">
        <w:rPr>
          <w:sz w:val="24"/>
        </w:rPr>
        <w:t>Service Provider</w:t>
      </w:r>
      <w:r w:rsidRPr="000428AF">
        <w:rPr>
          <w:sz w:val="24"/>
        </w:rPr>
        <w:t xml:space="preserve">’s employees, </w:t>
      </w:r>
      <w:r w:rsidR="008F1CC1">
        <w:rPr>
          <w:sz w:val="24"/>
        </w:rPr>
        <w:t>subcontractors</w:t>
      </w:r>
      <w:r w:rsidRPr="000428AF">
        <w:rPr>
          <w:sz w:val="24"/>
        </w:rPr>
        <w:t xml:space="preserve"> or agents with the following requirements:</w:t>
      </w:r>
    </w:p>
    <w:p w:rsidR="00DB5852" w:rsidRPr="000428AF" w:rsidRDefault="00DB5852" w:rsidP="0046058A">
      <w:pPr>
        <w:pStyle w:val="ListParagraph"/>
        <w:numPr>
          <w:ilvl w:val="0"/>
          <w:numId w:val="1"/>
        </w:numPr>
        <w:spacing w:after="120" w:line="240" w:lineRule="auto"/>
        <w:contextualSpacing w:val="0"/>
        <w:rPr>
          <w:sz w:val="24"/>
        </w:rPr>
      </w:pPr>
      <w:r w:rsidRPr="000428AF">
        <w:rPr>
          <w:sz w:val="24"/>
        </w:rPr>
        <w:t xml:space="preserve">All work </w:t>
      </w:r>
      <w:r w:rsidR="0046058A" w:rsidRPr="000428AF">
        <w:rPr>
          <w:sz w:val="24"/>
        </w:rPr>
        <w:t>shall</w:t>
      </w:r>
      <w:r w:rsidRPr="000428AF">
        <w:rPr>
          <w:sz w:val="24"/>
        </w:rPr>
        <w:t xml:space="preserve"> be performed under the supervision of the </w:t>
      </w:r>
      <w:r w:rsidR="008F1CC1">
        <w:rPr>
          <w:sz w:val="24"/>
        </w:rPr>
        <w:t>Service Provider</w:t>
      </w:r>
      <w:r w:rsidRPr="000428AF">
        <w:rPr>
          <w:sz w:val="24"/>
        </w:rPr>
        <w:t xml:space="preserve"> or the </w:t>
      </w:r>
      <w:r w:rsidR="008F1CC1">
        <w:rPr>
          <w:sz w:val="24"/>
        </w:rPr>
        <w:t>Service Provider</w:t>
      </w:r>
      <w:r w:rsidRPr="000428AF">
        <w:rPr>
          <w:sz w:val="24"/>
        </w:rPr>
        <w:t>'s responsible employees.</w:t>
      </w:r>
    </w:p>
    <w:p w:rsidR="00DB5852" w:rsidRPr="000428AF" w:rsidRDefault="00620C1C" w:rsidP="0046058A">
      <w:pPr>
        <w:pStyle w:val="ListParagraph"/>
        <w:numPr>
          <w:ilvl w:val="0"/>
          <w:numId w:val="1"/>
        </w:numPr>
        <w:spacing w:after="120" w:line="240" w:lineRule="auto"/>
        <w:contextualSpacing w:val="0"/>
        <w:rPr>
          <w:sz w:val="24"/>
        </w:rPr>
      </w:pPr>
      <w:r>
        <w:rPr>
          <w:sz w:val="24"/>
        </w:rPr>
        <w:t>Any OCSE NDNH</w:t>
      </w:r>
      <w:r w:rsidR="00DB5852" w:rsidRPr="000428AF">
        <w:rPr>
          <w:sz w:val="24"/>
        </w:rPr>
        <w:t xml:space="preserve"> provided information made available shall be used only for carrying out the provisions of this Agreement. Information contained in such material shall be treated as confiden</w:t>
      </w:r>
      <w:bookmarkStart w:id="0" w:name="_GoBack"/>
      <w:bookmarkEnd w:id="0"/>
      <w:r w:rsidR="00DB5852" w:rsidRPr="000428AF">
        <w:rPr>
          <w:sz w:val="24"/>
        </w:rPr>
        <w:t xml:space="preserve">tial and shall not be divulged or made known in any manner to any person except as may be necessary in the performance of this contract. Inspection by or disclosure to anyone other than an officer or employee of the </w:t>
      </w:r>
      <w:r w:rsidR="008F1CC1">
        <w:rPr>
          <w:sz w:val="24"/>
        </w:rPr>
        <w:t>Service Provider</w:t>
      </w:r>
      <w:r w:rsidR="00DB5852" w:rsidRPr="000428AF">
        <w:rPr>
          <w:sz w:val="24"/>
        </w:rPr>
        <w:t xml:space="preserve"> is prohibited.</w:t>
      </w:r>
    </w:p>
    <w:p w:rsidR="00DB5852" w:rsidRPr="000428AF" w:rsidRDefault="00DB5852" w:rsidP="0046058A">
      <w:pPr>
        <w:pStyle w:val="ListParagraph"/>
        <w:numPr>
          <w:ilvl w:val="0"/>
          <w:numId w:val="1"/>
        </w:numPr>
        <w:spacing w:after="120" w:line="240" w:lineRule="auto"/>
        <w:contextualSpacing w:val="0"/>
        <w:rPr>
          <w:sz w:val="24"/>
        </w:rPr>
      </w:pPr>
      <w:r w:rsidRPr="000428AF">
        <w:rPr>
          <w:sz w:val="24"/>
        </w:rPr>
        <w:t xml:space="preserve">All </w:t>
      </w:r>
      <w:r w:rsidR="00FA738A">
        <w:rPr>
          <w:sz w:val="24"/>
        </w:rPr>
        <w:t>OCSE NDNH</w:t>
      </w:r>
      <w:r w:rsidR="0046058A" w:rsidRPr="000428AF">
        <w:rPr>
          <w:sz w:val="24"/>
        </w:rPr>
        <w:t xml:space="preserve"> provided</w:t>
      </w:r>
      <w:r w:rsidRPr="000428AF">
        <w:rPr>
          <w:sz w:val="24"/>
        </w:rPr>
        <w:t xml:space="preserve"> information </w:t>
      </w:r>
      <w:r w:rsidR="0046058A" w:rsidRPr="000428AF">
        <w:rPr>
          <w:sz w:val="24"/>
        </w:rPr>
        <w:t>shall</w:t>
      </w:r>
      <w:r w:rsidRPr="000428AF">
        <w:rPr>
          <w:sz w:val="24"/>
        </w:rPr>
        <w:t xml:space="preserve"> be accounted for upon receipt and properly stored before, during, and after processing. In addition, all related output and products will be given the same level of protection as required for the source material.</w:t>
      </w:r>
    </w:p>
    <w:p w:rsidR="00DB5852" w:rsidRDefault="00DB5852" w:rsidP="0046058A">
      <w:pPr>
        <w:pStyle w:val="ListParagraph"/>
        <w:numPr>
          <w:ilvl w:val="0"/>
          <w:numId w:val="1"/>
        </w:numPr>
        <w:spacing w:after="120" w:line="240" w:lineRule="auto"/>
        <w:contextualSpacing w:val="0"/>
        <w:rPr>
          <w:sz w:val="24"/>
        </w:rPr>
      </w:pPr>
      <w:r w:rsidRPr="000428AF">
        <w:rPr>
          <w:sz w:val="24"/>
        </w:rPr>
        <w:t xml:space="preserve">No work involving </w:t>
      </w:r>
      <w:r w:rsidR="00FA738A">
        <w:rPr>
          <w:sz w:val="24"/>
        </w:rPr>
        <w:t>OCSE NDNH</w:t>
      </w:r>
      <w:r w:rsidR="0046058A" w:rsidRPr="000428AF">
        <w:rPr>
          <w:sz w:val="24"/>
        </w:rPr>
        <w:t xml:space="preserve"> provided</w:t>
      </w:r>
      <w:r w:rsidRPr="000428AF">
        <w:rPr>
          <w:sz w:val="24"/>
        </w:rPr>
        <w:t xml:space="preserve"> information furnished under this contract </w:t>
      </w:r>
      <w:r w:rsidR="0046058A" w:rsidRPr="000428AF">
        <w:rPr>
          <w:sz w:val="24"/>
        </w:rPr>
        <w:t>shall</w:t>
      </w:r>
      <w:r w:rsidRPr="000428AF">
        <w:rPr>
          <w:sz w:val="24"/>
        </w:rPr>
        <w:t xml:space="preserve"> be subcontracted without prior written approval </w:t>
      </w:r>
      <w:r w:rsidR="0046058A" w:rsidRPr="000428AF">
        <w:rPr>
          <w:sz w:val="24"/>
        </w:rPr>
        <w:t>by</w:t>
      </w:r>
      <w:r w:rsidRPr="000428AF">
        <w:rPr>
          <w:sz w:val="24"/>
        </w:rPr>
        <w:t xml:space="preserve"> the </w:t>
      </w:r>
      <w:r w:rsidR="00FA738A">
        <w:rPr>
          <w:sz w:val="24"/>
        </w:rPr>
        <w:t>Customer and the OCSE</w:t>
      </w:r>
      <w:r w:rsidRPr="000428AF">
        <w:rPr>
          <w:sz w:val="24"/>
        </w:rPr>
        <w:t>.</w:t>
      </w:r>
    </w:p>
    <w:p w:rsidR="001D7B2D" w:rsidRPr="001D7B2D" w:rsidRDefault="001D7B2D" w:rsidP="001D7B2D">
      <w:pPr>
        <w:pStyle w:val="ListParagraph"/>
        <w:numPr>
          <w:ilvl w:val="0"/>
          <w:numId w:val="1"/>
        </w:numPr>
        <w:spacing w:after="120" w:line="240" w:lineRule="auto"/>
        <w:contextualSpacing w:val="0"/>
        <w:rPr>
          <w:sz w:val="24"/>
        </w:rPr>
      </w:pPr>
      <w:r>
        <w:rPr>
          <w:sz w:val="24"/>
        </w:rPr>
        <w:t>OCSE-provided information may</w:t>
      </w:r>
      <w:r w:rsidRPr="00C546A6">
        <w:rPr>
          <w:sz w:val="24"/>
        </w:rPr>
        <w:t xml:space="preserve"> not</w:t>
      </w:r>
      <w:r>
        <w:rPr>
          <w:sz w:val="24"/>
        </w:rPr>
        <w:t xml:space="preserve"> be</w:t>
      </w:r>
      <w:r w:rsidRPr="00C546A6">
        <w:rPr>
          <w:sz w:val="24"/>
        </w:rPr>
        <w:t xml:space="preserve"> processed, maintained, transmitted, or stored in or by means of data communications channels, electronic devices, computers, or computer networks located in geographic or virtual areas not subject to U.S. law</w:t>
      </w:r>
    </w:p>
    <w:p w:rsidR="00DB5852" w:rsidRPr="000428AF" w:rsidRDefault="0046058A" w:rsidP="0046058A">
      <w:pPr>
        <w:pStyle w:val="ListParagraph"/>
        <w:numPr>
          <w:ilvl w:val="0"/>
          <w:numId w:val="1"/>
        </w:numPr>
        <w:spacing w:after="120" w:line="240" w:lineRule="auto"/>
        <w:contextualSpacing w:val="0"/>
        <w:rPr>
          <w:sz w:val="24"/>
        </w:rPr>
      </w:pPr>
      <w:r w:rsidRPr="000428AF">
        <w:rPr>
          <w:sz w:val="24"/>
        </w:rPr>
        <w:t xml:space="preserve">The </w:t>
      </w:r>
      <w:r w:rsidR="008F1CC1">
        <w:rPr>
          <w:sz w:val="24"/>
        </w:rPr>
        <w:t>Service Provider</w:t>
      </w:r>
      <w:r w:rsidR="00DB5852" w:rsidRPr="000428AF">
        <w:rPr>
          <w:sz w:val="24"/>
        </w:rPr>
        <w:t xml:space="preserve"> </w:t>
      </w:r>
      <w:r w:rsidRPr="000428AF">
        <w:rPr>
          <w:sz w:val="24"/>
        </w:rPr>
        <w:t>shall</w:t>
      </w:r>
      <w:r w:rsidR="00DB5852" w:rsidRPr="000428AF">
        <w:rPr>
          <w:sz w:val="24"/>
        </w:rPr>
        <w:t xml:space="preserve"> maintain a list of employees authorized access. Such list </w:t>
      </w:r>
      <w:r w:rsidRPr="000428AF">
        <w:rPr>
          <w:sz w:val="24"/>
        </w:rPr>
        <w:t>shall</w:t>
      </w:r>
      <w:r w:rsidR="00DB5852" w:rsidRPr="000428AF">
        <w:rPr>
          <w:sz w:val="24"/>
        </w:rPr>
        <w:t xml:space="preserve"> be provided </w:t>
      </w:r>
      <w:r w:rsidRPr="000428AF">
        <w:rPr>
          <w:sz w:val="24"/>
        </w:rPr>
        <w:t>upon request by</w:t>
      </w:r>
      <w:r w:rsidR="00DB5852" w:rsidRPr="000428AF">
        <w:rPr>
          <w:sz w:val="24"/>
        </w:rPr>
        <w:t xml:space="preserve"> the </w:t>
      </w:r>
      <w:r w:rsidRPr="000428AF">
        <w:rPr>
          <w:sz w:val="24"/>
        </w:rPr>
        <w:t>Customer</w:t>
      </w:r>
      <w:r w:rsidR="00DB5852" w:rsidRPr="000428AF">
        <w:rPr>
          <w:sz w:val="24"/>
        </w:rPr>
        <w:t xml:space="preserve"> </w:t>
      </w:r>
      <w:r w:rsidRPr="000428AF">
        <w:rPr>
          <w:sz w:val="24"/>
        </w:rPr>
        <w:t>or t</w:t>
      </w:r>
      <w:r w:rsidR="00DB5852" w:rsidRPr="000428AF">
        <w:rPr>
          <w:sz w:val="24"/>
        </w:rPr>
        <w:t xml:space="preserve">he </w:t>
      </w:r>
      <w:r w:rsidR="00FA738A">
        <w:rPr>
          <w:sz w:val="24"/>
        </w:rPr>
        <w:t>OCSE</w:t>
      </w:r>
      <w:r w:rsidR="00DB5852" w:rsidRPr="000428AF">
        <w:rPr>
          <w:sz w:val="24"/>
        </w:rPr>
        <w:t>.</w:t>
      </w:r>
    </w:p>
    <w:p w:rsidR="008149D1" w:rsidRPr="000428AF" w:rsidRDefault="008F1CC1" w:rsidP="00DB5852">
      <w:pPr>
        <w:pStyle w:val="ListParagraph"/>
        <w:numPr>
          <w:ilvl w:val="0"/>
          <w:numId w:val="1"/>
        </w:numPr>
        <w:spacing w:after="120" w:line="240" w:lineRule="auto"/>
        <w:contextualSpacing w:val="0"/>
        <w:rPr>
          <w:sz w:val="24"/>
        </w:rPr>
      </w:pPr>
      <w:r>
        <w:rPr>
          <w:sz w:val="24"/>
        </w:rPr>
        <w:t>Service Provider</w:t>
      </w:r>
      <w:r w:rsidR="008149D1" w:rsidRPr="000428AF">
        <w:rPr>
          <w:sz w:val="24"/>
        </w:rPr>
        <w:t xml:space="preserve"> shall provide security awareness training to all employees, </w:t>
      </w:r>
      <w:r>
        <w:rPr>
          <w:sz w:val="24"/>
        </w:rPr>
        <w:t>Service Provider</w:t>
      </w:r>
      <w:r w:rsidR="00FA738A">
        <w:rPr>
          <w:sz w:val="24"/>
        </w:rPr>
        <w:t>s, and agents who access OCSE NDNH</w:t>
      </w:r>
      <w:r w:rsidR="008149D1" w:rsidRPr="000428AF">
        <w:rPr>
          <w:sz w:val="24"/>
        </w:rPr>
        <w:t>-provided information. The training should be annual, mandatory,</w:t>
      </w:r>
      <w:r w:rsidR="00FA738A">
        <w:rPr>
          <w:sz w:val="24"/>
        </w:rPr>
        <w:t xml:space="preserve"> inform individuals they are being exposed to NHNH information,</w:t>
      </w:r>
      <w:r w:rsidR="008149D1" w:rsidRPr="000428AF">
        <w:rPr>
          <w:sz w:val="24"/>
        </w:rPr>
        <w:t xml:space="preserve"> and certified by the personnel who receive the training. </w:t>
      </w:r>
      <w:r>
        <w:rPr>
          <w:sz w:val="24"/>
        </w:rPr>
        <w:t>Service Provider</w:t>
      </w:r>
      <w:r w:rsidR="008149D1" w:rsidRPr="000428AF">
        <w:rPr>
          <w:sz w:val="24"/>
        </w:rPr>
        <w:t xml:space="preserve"> is also required to certify that each employee, </w:t>
      </w:r>
      <w:r>
        <w:rPr>
          <w:sz w:val="24"/>
        </w:rPr>
        <w:t>Service Provider</w:t>
      </w:r>
      <w:r w:rsidR="008149D1" w:rsidRPr="000428AF">
        <w:rPr>
          <w:sz w:val="24"/>
        </w:rPr>
        <w:t xml:space="preserve">, and agent who views </w:t>
      </w:r>
      <w:r w:rsidR="00FA738A">
        <w:rPr>
          <w:sz w:val="24"/>
        </w:rPr>
        <w:t>OCSE</w:t>
      </w:r>
      <w:r w:rsidR="008149D1" w:rsidRPr="000428AF">
        <w:rPr>
          <w:sz w:val="24"/>
        </w:rPr>
        <w:t>-provided information certify that they understand the potential criminal, civil, and administrative sanctions or penalties for unlawful assess and/or disclosure.</w:t>
      </w:r>
    </w:p>
    <w:p w:rsidR="008149D1" w:rsidRPr="000428AF" w:rsidRDefault="008F1CC1" w:rsidP="00DB5852">
      <w:pPr>
        <w:pStyle w:val="ListParagraph"/>
        <w:numPr>
          <w:ilvl w:val="0"/>
          <w:numId w:val="1"/>
        </w:numPr>
        <w:spacing w:after="120" w:line="240" w:lineRule="auto"/>
        <w:contextualSpacing w:val="0"/>
        <w:rPr>
          <w:sz w:val="24"/>
        </w:rPr>
      </w:pPr>
      <w:r>
        <w:rPr>
          <w:sz w:val="24"/>
        </w:rPr>
        <w:t>Service Provider</w:t>
      </w:r>
      <w:r w:rsidR="008149D1" w:rsidRPr="000428AF">
        <w:rPr>
          <w:sz w:val="24"/>
        </w:rPr>
        <w:t xml:space="preserve"> shall require employees, </w:t>
      </w:r>
      <w:r>
        <w:rPr>
          <w:sz w:val="24"/>
        </w:rPr>
        <w:t>Service Provider</w:t>
      </w:r>
      <w:r w:rsidR="008149D1" w:rsidRPr="000428AF">
        <w:rPr>
          <w:sz w:val="24"/>
        </w:rPr>
        <w:t xml:space="preserve">s, and agents to sign a non-disclosure agreement, attest to their receipt of Security Awareness Training, and acknowledge the rules of behavior concerning proper use and security in systems that process </w:t>
      </w:r>
      <w:r w:rsidR="00FA738A">
        <w:rPr>
          <w:sz w:val="24"/>
        </w:rPr>
        <w:t>OCSE</w:t>
      </w:r>
      <w:r w:rsidR="008149D1" w:rsidRPr="000428AF">
        <w:rPr>
          <w:sz w:val="24"/>
        </w:rPr>
        <w:t xml:space="preserve">-provided information. </w:t>
      </w:r>
      <w:r>
        <w:rPr>
          <w:sz w:val="24"/>
        </w:rPr>
        <w:t>Service Provider</w:t>
      </w:r>
      <w:r w:rsidR="008149D1" w:rsidRPr="000428AF">
        <w:rPr>
          <w:sz w:val="24"/>
        </w:rPr>
        <w:t xml:space="preserve"> shall retain non-disclosure attestations for at least five (5) to seven (7) years for each employee who processes, views, or encounters </w:t>
      </w:r>
      <w:r w:rsidR="00FA738A">
        <w:rPr>
          <w:sz w:val="24"/>
        </w:rPr>
        <w:t>OCSE</w:t>
      </w:r>
      <w:r w:rsidR="008149D1" w:rsidRPr="000428AF">
        <w:rPr>
          <w:sz w:val="24"/>
        </w:rPr>
        <w:t>-provided information as part of their duties.</w:t>
      </w:r>
    </w:p>
    <w:p w:rsidR="008149D1" w:rsidRPr="00D207D4" w:rsidRDefault="008149D1" w:rsidP="00D207D4">
      <w:pPr>
        <w:pStyle w:val="ListParagraph"/>
        <w:numPr>
          <w:ilvl w:val="0"/>
          <w:numId w:val="1"/>
        </w:numPr>
        <w:spacing w:after="120" w:line="240" w:lineRule="auto"/>
        <w:contextualSpacing w:val="0"/>
        <w:rPr>
          <w:sz w:val="24"/>
        </w:rPr>
      </w:pPr>
      <w:r w:rsidRPr="000428AF">
        <w:rPr>
          <w:sz w:val="24"/>
        </w:rPr>
        <w:lastRenderedPageBreak/>
        <w:t xml:space="preserve">Where the </w:t>
      </w:r>
      <w:r w:rsidR="008F1CC1">
        <w:rPr>
          <w:sz w:val="24"/>
        </w:rPr>
        <w:t>Service Provider</w:t>
      </w:r>
      <w:r w:rsidRPr="000428AF">
        <w:rPr>
          <w:sz w:val="24"/>
        </w:rPr>
        <w:t xml:space="preserve"> processes, handles, or transmits information provided to the Customer by the </w:t>
      </w:r>
      <w:r w:rsidR="00FA738A">
        <w:rPr>
          <w:sz w:val="24"/>
        </w:rPr>
        <w:t>OCSE</w:t>
      </w:r>
      <w:r w:rsidRPr="000428AF">
        <w:rPr>
          <w:sz w:val="24"/>
        </w:rPr>
        <w:t xml:space="preserve"> or has authority to perform on the Customer's behalf, the Customer shall clearly state the specific roles and functions of the </w:t>
      </w:r>
      <w:r w:rsidR="008F1CC1">
        <w:rPr>
          <w:sz w:val="24"/>
        </w:rPr>
        <w:t>Service Provider</w:t>
      </w:r>
      <w:r w:rsidRPr="000428AF">
        <w:rPr>
          <w:sz w:val="24"/>
        </w:rPr>
        <w:t xml:space="preserve"> within the Agreement.</w:t>
      </w:r>
    </w:p>
    <w:p w:rsidR="008149D1" w:rsidRPr="000428AF" w:rsidRDefault="001D7B2D" w:rsidP="00DB5852">
      <w:pPr>
        <w:pStyle w:val="ListParagraph"/>
        <w:numPr>
          <w:ilvl w:val="0"/>
          <w:numId w:val="1"/>
        </w:numPr>
        <w:spacing w:after="120" w:line="240" w:lineRule="auto"/>
        <w:contextualSpacing w:val="0"/>
        <w:rPr>
          <w:sz w:val="24"/>
        </w:rPr>
      </w:pPr>
      <w:r>
        <w:rPr>
          <w:sz w:val="24"/>
        </w:rPr>
        <w:t>OCSE</w:t>
      </w:r>
      <w:r w:rsidR="008149D1" w:rsidRPr="000428AF">
        <w:rPr>
          <w:sz w:val="24"/>
        </w:rPr>
        <w:t xml:space="preserve"> requires all parties subject to this Agreement to agree that any Customer-owned or subcontracted facility involved in the receipt, processing, storage, or disposal of </w:t>
      </w:r>
      <w:r w:rsidR="00FA738A">
        <w:rPr>
          <w:sz w:val="24"/>
        </w:rPr>
        <w:t>OCSE</w:t>
      </w:r>
      <w:r w:rsidR="008149D1" w:rsidRPr="000428AF">
        <w:rPr>
          <w:sz w:val="24"/>
        </w:rPr>
        <w:t xml:space="preserve">-provided information operate as a “de facto” extension of the Customer and is subject to onsite inspection and review by the Customer or </w:t>
      </w:r>
      <w:r w:rsidR="00FA738A">
        <w:rPr>
          <w:sz w:val="24"/>
        </w:rPr>
        <w:t>OCSE</w:t>
      </w:r>
      <w:r w:rsidR="008149D1" w:rsidRPr="000428AF">
        <w:rPr>
          <w:sz w:val="24"/>
        </w:rPr>
        <w:t xml:space="preserve"> with prior notice.</w:t>
      </w:r>
    </w:p>
    <w:p w:rsidR="008149D1" w:rsidRPr="000428AF" w:rsidRDefault="008149D1" w:rsidP="00DB5852">
      <w:pPr>
        <w:pStyle w:val="ListParagraph"/>
        <w:numPr>
          <w:ilvl w:val="0"/>
          <w:numId w:val="1"/>
        </w:numPr>
        <w:spacing w:after="120" w:line="240" w:lineRule="auto"/>
        <w:contextualSpacing w:val="0"/>
        <w:rPr>
          <w:sz w:val="24"/>
        </w:rPr>
      </w:pPr>
      <w:r w:rsidRPr="000428AF">
        <w:rPr>
          <w:sz w:val="24"/>
        </w:rPr>
        <w:t xml:space="preserve">If the </w:t>
      </w:r>
      <w:r w:rsidR="008F1CC1">
        <w:rPr>
          <w:sz w:val="24"/>
        </w:rPr>
        <w:t>Service Provider</w:t>
      </w:r>
      <w:r w:rsidRPr="000428AF">
        <w:rPr>
          <w:sz w:val="24"/>
        </w:rPr>
        <w:t xml:space="preserve"> must send a computer, hard drive, or other computing or storage device offsite for repair, the </w:t>
      </w:r>
      <w:r w:rsidR="008F1CC1">
        <w:rPr>
          <w:sz w:val="24"/>
        </w:rPr>
        <w:t>Service Provider</w:t>
      </w:r>
      <w:r w:rsidRPr="000428AF">
        <w:rPr>
          <w:sz w:val="24"/>
        </w:rPr>
        <w:t xml:space="preserve"> must have a non-disclosure clause in their contract with the vendor. If the </w:t>
      </w:r>
      <w:r w:rsidR="008F1CC1">
        <w:rPr>
          <w:sz w:val="24"/>
        </w:rPr>
        <w:t>Service Provider</w:t>
      </w:r>
      <w:r w:rsidRPr="000428AF">
        <w:rPr>
          <w:sz w:val="24"/>
        </w:rPr>
        <w:t xml:space="preserve"> used the item in a business process that involved </w:t>
      </w:r>
      <w:r w:rsidR="00FA738A">
        <w:rPr>
          <w:sz w:val="24"/>
        </w:rPr>
        <w:t>OCSE</w:t>
      </w:r>
      <w:r w:rsidRPr="000428AF">
        <w:rPr>
          <w:sz w:val="24"/>
        </w:rPr>
        <w:t xml:space="preserve">-provided information and the vendor will retrieve or may view </w:t>
      </w:r>
      <w:r w:rsidR="001D7B2D">
        <w:rPr>
          <w:sz w:val="24"/>
        </w:rPr>
        <w:t>OCSE</w:t>
      </w:r>
      <w:r w:rsidRPr="000428AF">
        <w:rPr>
          <w:sz w:val="24"/>
        </w:rPr>
        <w:t xml:space="preserve">-provided information during servicing, </w:t>
      </w:r>
      <w:r w:rsidR="00FA738A">
        <w:rPr>
          <w:sz w:val="24"/>
        </w:rPr>
        <w:t>OCSE</w:t>
      </w:r>
      <w:r w:rsidRPr="000428AF">
        <w:rPr>
          <w:sz w:val="24"/>
        </w:rPr>
        <w:t xml:space="preserve"> reserves the right to inspect the </w:t>
      </w:r>
      <w:r w:rsidR="008F1CC1">
        <w:rPr>
          <w:sz w:val="24"/>
        </w:rPr>
        <w:t>Service Provider</w:t>
      </w:r>
      <w:r w:rsidRPr="000428AF">
        <w:rPr>
          <w:sz w:val="24"/>
        </w:rPr>
        <w:t xml:space="preserve">’s vendor contract. The </w:t>
      </w:r>
      <w:r w:rsidR="008F1CC1">
        <w:rPr>
          <w:sz w:val="24"/>
        </w:rPr>
        <w:t>Service Provider</w:t>
      </w:r>
      <w:r w:rsidRPr="000428AF">
        <w:rPr>
          <w:sz w:val="24"/>
        </w:rPr>
        <w:t xml:space="preserve"> must remove </w:t>
      </w:r>
      <w:r w:rsidR="00FA738A">
        <w:rPr>
          <w:sz w:val="24"/>
        </w:rPr>
        <w:t>OCSE</w:t>
      </w:r>
      <w:r w:rsidRPr="000428AF">
        <w:rPr>
          <w:sz w:val="24"/>
        </w:rPr>
        <w:t xml:space="preserve">-provided information from electronic devices before sending it to an external vendor for service. </w:t>
      </w:r>
      <w:r w:rsidR="00FA738A">
        <w:rPr>
          <w:sz w:val="24"/>
        </w:rPr>
        <w:t>OCSE</w:t>
      </w:r>
      <w:r w:rsidRPr="000428AF">
        <w:rPr>
          <w:sz w:val="24"/>
        </w:rPr>
        <w:t xml:space="preserve"> expects the </w:t>
      </w:r>
      <w:r w:rsidR="008F1CC1">
        <w:rPr>
          <w:sz w:val="24"/>
        </w:rPr>
        <w:t>Service Provider</w:t>
      </w:r>
      <w:r w:rsidRPr="000428AF">
        <w:rPr>
          <w:sz w:val="24"/>
        </w:rPr>
        <w:t xml:space="preserve"> to render </w:t>
      </w:r>
      <w:r w:rsidR="00FA738A">
        <w:rPr>
          <w:sz w:val="24"/>
        </w:rPr>
        <w:t>OCSE</w:t>
      </w:r>
      <w:r w:rsidRPr="000428AF">
        <w:rPr>
          <w:sz w:val="24"/>
        </w:rPr>
        <w:t>-provided information unrecoverable or destroy the electronic device if they do not need to recover the information. The same applies to excessed, donated, or sold equipment placed into the custody of another organization.</w:t>
      </w:r>
    </w:p>
    <w:p w:rsidR="004E30F3" w:rsidRDefault="00DB5852" w:rsidP="00C14869">
      <w:pPr>
        <w:pStyle w:val="ListParagraph"/>
        <w:numPr>
          <w:ilvl w:val="0"/>
          <w:numId w:val="1"/>
        </w:numPr>
        <w:spacing w:after="120" w:line="240" w:lineRule="auto"/>
        <w:contextualSpacing w:val="0"/>
        <w:rPr>
          <w:sz w:val="24"/>
        </w:rPr>
      </w:pPr>
      <w:r w:rsidRPr="000428AF">
        <w:rPr>
          <w:sz w:val="24"/>
        </w:rPr>
        <w:t xml:space="preserve">In the event of a suspected </w:t>
      </w:r>
      <w:r w:rsidR="004E30F3">
        <w:rPr>
          <w:sz w:val="24"/>
        </w:rPr>
        <w:t xml:space="preserve">or verified </w:t>
      </w:r>
      <w:r w:rsidRPr="000428AF">
        <w:rPr>
          <w:sz w:val="24"/>
        </w:rPr>
        <w:t xml:space="preserve">data breach involving </w:t>
      </w:r>
      <w:r w:rsidR="00FA738A">
        <w:rPr>
          <w:sz w:val="24"/>
        </w:rPr>
        <w:t>OCSE</w:t>
      </w:r>
      <w:r w:rsidRPr="000428AF">
        <w:rPr>
          <w:sz w:val="24"/>
        </w:rPr>
        <w:t xml:space="preserve"> provided information, the Service Provider shall notify </w:t>
      </w:r>
      <w:r w:rsidR="004E30F3">
        <w:rPr>
          <w:sz w:val="24"/>
        </w:rPr>
        <w:t xml:space="preserve">the </w:t>
      </w:r>
      <w:r w:rsidR="00FA738A">
        <w:rPr>
          <w:sz w:val="24"/>
        </w:rPr>
        <w:t>following</w:t>
      </w:r>
      <w:r w:rsidR="004E30F3">
        <w:rPr>
          <w:sz w:val="24"/>
        </w:rPr>
        <w:t xml:space="preserve"> below</w:t>
      </w:r>
      <w:r w:rsidR="00623FAA">
        <w:rPr>
          <w:sz w:val="24"/>
        </w:rPr>
        <w:t xml:space="preserve"> within one (1) hour</w:t>
      </w:r>
      <w:r w:rsidR="004E30F3">
        <w:rPr>
          <w:sz w:val="24"/>
        </w:rPr>
        <w:t xml:space="preserve">: </w:t>
      </w:r>
      <w:r w:rsidR="00C14869" w:rsidRPr="000428AF">
        <w:rPr>
          <w:sz w:val="24"/>
        </w:rPr>
        <w:t xml:space="preserve"> </w:t>
      </w:r>
    </w:p>
    <w:p w:rsidR="004E30F3" w:rsidRDefault="004E30F3" w:rsidP="004E30F3">
      <w:pPr>
        <w:spacing w:after="120" w:line="240" w:lineRule="auto"/>
        <w:ind w:left="1440"/>
        <w:rPr>
          <w:sz w:val="24"/>
        </w:rPr>
      </w:pPr>
      <w:r>
        <w:rPr>
          <w:sz w:val="24"/>
        </w:rPr>
        <w:t>Customer</w:t>
      </w:r>
    </w:p>
    <w:p w:rsidR="001D7B2D" w:rsidRPr="001D7B2D" w:rsidRDefault="001D7B2D" w:rsidP="001D7B2D">
      <w:pPr>
        <w:spacing w:after="120" w:line="480" w:lineRule="auto"/>
        <w:ind w:left="720" w:firstLine="720"/>
        <w:contextualSpacing/>
        <w:rPr>
          <w:rFonts w:eastAsiaTheme="minorEastAsia"/>
          <w:kern w:val="24"/>
          <w:sz w:val="24"/>
          <w:szCs w:val="24"/>
        </w:rPr>
      </w:pPr>
      <w:r w:rsidRPr="001D7B2D">
        <w:rPr>
          <w:rFonts w:eastAsiaTheme="minorEastAsia"/>
          <w:kern w:val="24"/>
          <w:sz w:val="24"/>
          <w:szCs w:val="24"/>
        </w:rPr>
        <w:t xml:space="preserve">Linda Boyer: </w:t>
      </w:r>
      <w:hyperlink r:id="rId8" w:history="1">
        <w:r w:rsidR="005D7D95" w:rsidRPr="001D7B2D">
          <w:rPr>
            <w:rFonts w:eastAsiaTheme="minorEastAsia"/>
            <w:kern w:val="24"/>
            <w:sz w:val="24"/>
            <w:szCs w:val="24"/>
            <w:u w:val="single"/>
          </w:rPr>
          <w:t>Linda.Boyer@acf.hhs.gov</w:t>
        </w:r>
      </w:hyperlink>
    </w:p>
    <w:p w:rsidR="001D7B2D" w:rsidRPr="001D7B2D" w:rsidRDefault="001D7B2D" w:rsidP="001D7B2D">
      <w:pPr>
        <w:spacing w:after="120" w:line="480" w:lineRule="auto"/>
        <w:ind w:left="720" w:firstLine="720"/>
        <w:contextualSpacing/>
        <w:rPr>
          <w:rFonts w:eastAsia="Times New Roman"/>
          <w:sz w:val="24"/>
          <w:szCs w:val="24"/>
        </w:rPr>
      </w:pPr>
      <w:r w:rsidRPr="001D7B2D">
        <w:rPr>
          <w:rFonts w:eastAsiaTheme="minorEastAsia"/>
          <w:kern w:val="24"/>
          <w:sz w:val="24"/>
          <w:szCs w:val="24"/>
        </w:rPr>
        <w:t xml:space="preserve">Danny Markley: </w:t>
      </w:r>
      <w:hyperlink r:id="rId9" w:history="1">
        <w:r w:rsidR="005D7D95" w:rsidRPr="001D7B2D">
          <w:rPr>
            <w:rFonts w:eastAsiaTheme="minorEastAsia"/>
            <w:kern w:val="24"/>
            <w:sz w:val="24"/>
            <w:szCs w:val="24"/>
            <w:u w:val="single"/>
          </w:rPr>
          <w:t>Danny.Markley@acf.hhs.gov</w:t>
        </w:r>
      </w:hyperlink>
    </w:p>
    <w:p w:rsidR="0046058A" w:rsidRPr="000428AF" w:rsidRDefault="0046058A" w:rsidP="0046058A">
      <w:pPr>
        <w:pStyle w:val="ListParagraph"/>
        <w:numPr>
          <w:ilvl w:val="0"/>
          <w:numId w:val="1"/>
        </w:numPr>
        <w:spacing w:after="120" w:line="240" w:lineRule="auto"/>
        <w:contextualSpacing w:val="0"/>
        <w:rPr>
          <w:sz w:val="24"/>
        </w:rPr>
      </w:pPr>
      <w:r w:rsidRPr="000428AF">
        <w:rPr>
          <w:sz w:val="24"/>
        </w:rPr>
        <w:t xml:space="preserve">The Customer shall have the right to void the contract if the </w:t>
      </w:r>
      <w:r w:rsidR="008F1CC1">
        <w:rPr>
          <w:sz w:val="24"/>
        </w:rPr>
        <w:t>Service Provider</w:t>
      </w:r>
      <w:r w:rsidRPr="000428AF">
        <w:rPr>
          <w:sz w:val="24"/>
        </w:rPr>
        <w:t xml:space="preserve"> fails to provide the safeguards described above.</w:t>
      </w:r>
    </w:p>
    <w:p w:rsidR="008149D1" w:rsidRPr="000428AF" w:rsidRDefault="001D7B2D" w:rsidP="008149D1">
      <w:pPr>
        <w:rPr>
          <w:sz w:val="24"/>
        </w:rPr>
      </w:pPr>
      <w:r>
        <w:rPr>
          <w:sz w:val="24"/>
        </w:rPr>
        <w:t>Federal Statutes and U.S. Codes that govern OCSE NDNH information.</w:t>
      </w:r>
    </w:p>
    <w:p w:rsidR="005D7D95" w:rsidRPr="00D207D4" w:rsidRDefault="005D7D95" w:rsidP="005D7D95">
      <w:pPr>
        <w:numPr>
          <w:ilvl w:val="0"/>
          <w:numId w:val="5"/>
        </w:numPr>
        <w:spacing w:after="120" w:line="240" w:lineRule="auto"/>
        <w:rPr>
          <w:rFonts w:asciiTheme="minorHAnsi" w:hAnsiTheme="minorHAnsi" w:cstheme="minorBidi"/>
        </w:rPr>
      </w:pPr>
      <w:r w:rsidRPr="00D207D4">
        <w:rPr>
          <w:rFonts w:asciiTheme="minorHAnsi" w:hAnsiTheme="minorHAnsi" w:cstheme="minorBidi"/>
          <w:b/>
        </w:rPr>
        <w:t>5 U.S.C. §552a(b)(1)</w:t>
      </w:r>
      <w:r w:rsidRPr="00D207D4">
        <w:rPr>
          <w:rFonts w:asciiTheme="minorHAnsi" w:hAnsiTheme="minorHAnsi" w:cstheme="minorBidi"/>
        </w:rPr>
        <w:t xml:space="preserve"> - Conditions of disclosure. No agency shall disclose any record which is contained in a system of records by any means of communication to any person, or to another agency, except pursuant to a written request by, or with the prior written consent of, the individual to whom the record pertains, unless disclosure of the record would be--</w:t>
      </w:r>
    </w:p>
    <w:p w:rsidR="005D7D95" w:rsidRPr="00D207D4" w:rsidRDefault="005D7D95" w:rsidP="005D7D95">
      <w:pPr>
        <w:spacing w:after="120"/>
        <w:ind w:left="1080"/>
        <w:rPr>
          <w:rFonts w:asciiTheme="minorHAnsi" w:hAnsiTheme="minorHAnsi" w:cstheme="minorBidi"/>
        </w:rPr>
      </w:pPr>
      <w:r w:rsidRPr="00D207D4">
        <w:rPr>
          <w:rFonts w:asciiTheme="minorHAnsi" w:hAnsiTheme="minorHAnsi" w:cstheme="minorBidi"/>
          <w:bCs/>
        </w:rPr>
        <w:t>(1)</w:t>
      </w:r>
      <w:r w:rsidRPr="00D207D4">
        <w:rPr>
          <w:rFonts w:asciiTheme="minorHAnsi" w:hAnsiTheme="minorHAnsi" w:cstheme="minorBidi"/>
        </w:rPr>
        <w:t>  to those officers and employees of the agency which maintains the record who have a need for the record in the performance of their duties</w:t>
      </w:r>
    </w:p>
    <w:p w:rsidR="005D7D95" w:rsidRPr="00D207D4" w:rsidRDefault="005D7D95" w:rsidP="005D7D95">
      <w:pPr>
        <w:pStyle w:val="ListParagraph"/>
        <w:numPr>
          <w:ilvl w:val="0"/>
          <w:numId w:val="4"/>
        </w:numPr>
        <w:spacing w:after="120" w:line="240" w:lineRule="auto"/>
        <w:contextualSpacing w:val="0"/>
        <w:rPr>
          <w:rFonts w:asciiTheme="minorHAnsi" w:hAnsiTheme="minorHAnsi" w:cstheme="minorBidi"/>
        </w:rPr>
      </w:pPr>
      <w:r w:rsidRPr="00D207D4">
        <w:rPr>
          <w:rFonts w:asciiTheme="minorHAnsi" w:hAnsiTheme="minorHAnsi" w:cstheme="minorBidi"/>
          <w:b/>
        </w:rPr>
        <w:t>42 U.S.C. §653(l)(2)</w:t>
      </w:r>
      <w:r w:rsidRPr="00D207D4">
        <w:rPr>
          <w:rFonts w:asciiTheme="minorHAnsi" w:hAnsiTheme="minorHAnsi" w:cstheme="minorBidi"/>
        </w:rPr>
        <w:t xml:space="preserve"> - Penalty for misuse of information in the National Directory of New Hires. The Secretary shall require the imposition of an administrative penalty (up to and including dismissal from employment), and a fine of $ 1,000, for each act of unauthorized access to, disclosure of, or use of, information in the National Directory of New Hires established under subsection (i) by any officer or employee of the United States or any other person who knowingly and willfully violates this paragraph.</w:t>
      </w:r>
    </w:p>
    <w:p w:rsidR="005D7D95" w:rsidRPr="00D207D4" w:rsidRDefault="005D7D95" w:rsidP="005D7D95">
      <w:pPr>
        <w:pStyle w:val="ListParagraph"/>
        <w:numPr>
          <w:ilvl w:val="0"/>
          <w:numId w:val="4"/>
        </w:numPr>
        <w:spacing w:after="120" w:line="240" w:lineRule="auto"/>
        <w:contextualSpacing w:val="0"/>
        <w:rPr>
          <w:rFonts w:asciiTheme="minorHAnsi" w:hAnsiTheme="minorHAnsi" w:cstheme="minorBidi"/>
        </w:rPr>
      </w:pPr>
      <w:r w:rsidRPr="00D207D4">
        <w:rPr>
          <w:rFonts w:asciiTheme="minorHAnsi" w:hAnsiTheme="minorHAnsi" w:cstheme="minorBidi"/>
          <w:b/>
        </w:rPr>
        <w:lastRenderedPageBreak/>
        <w:t>42 U.S.C. §654(26)</w:t>
      </w:r>
      <w:r w:rsidRPr="00D207D4">
        <w:rPr>
          <w:rFonts w:asciiTheme="minorHAnsi" w:hAnsiTheme="minorHAnsi" w:cstheme="minorBidi"/>
        </w:rPr>
        <w:t xml:space="preserve"> - A State plan for child and spousal support must--</w:t>
      </w:r>
      <w:r w:rsidRPr="00D207D4">
        <w:rPr>
          <w:rFonts w:asciiTheme="minorHAnsi" w:hAnsiTheme="minorHAnsi" w:cstheme="minorBidi"/>
          <w:b/>
          <w:bCs/>
        </w:rPr>
        <w:t xml:space="preserve"> ***</w:t>
      </w:r>
    </w:p>
    <w:p w:rsidR="005D7D95" w:rsidRPr="00D207D4" w:rsidRDefault="005D7D95" w:rsidP="005D7D95">
      <w:pPr>
        <w:spacing w:after="120"/>
        <w:ind w:left="1080"/>
        <w:rPr>
          <w:rFonts w:asciiTheme="minorHAnsi" w:hAnsiTheme="minorHAnsi" w:cstheme="minorBidi"/>
        </w:rPr>
      </w:pPr>
      <w:r w:rsidRPr="00D207D4">
        <w:rPr>
          <w:rFonts w:asciiTheme="minorHAnsi" w:hAnsiTheme="minorHAnsi" w:cstheme="minorBidi"/>
          <w:bCs/>
        </w:rPr>
        <w:t>(26)</w:t>
      </w:r>
      <w:r w:rsidRPr="00D207D4">
        <w:rPr>
          <w:rFonts w:asciiTheme="minorHAnsi" w:hAnsiTheme="minorHAnsi" w:cstheme="minorBidi"/>
        </w:rPr>
        <w:t>  have in effect safeguards, applicable to all confidential information handled by the State agency, that are designed to protect the privacy rights of the parties, including--</w:t>
      </w:r>
    </w:p>
    <w:p w:rsidR="005D7D95" w:rsidRPr="00D207D4" w:rsidRDefault="005D7D95" w:rsidP="005D7D95">
      <w:pPr>
        <w:spacing w:after="120"/>
        <w:ind w:left="1440"/>
        <w:rPr>
          <w:rFonts w:asciiTheme="minorHAnsi" w:hAnsiTheme="minorHAnsi" w:cstheme="minorBidi"/>
        </w:rPr>
      </w:pPr>
      <w:r w:rsidRPr="00D207D4">
        <w:rPr>
          <w:rFonts w:asciiTheme="minorHAnsi" w:hAnsiTheme="minorHAnsi" w:cstheme="minorBidi"/>
          <w:bCs/>
        </w:rPr>
        <w:t>(A)</w:t>
      </w:r>
      <w:r w:rsidRPr="00D207D4">
        <w:rPr>
          <w:rFonts w:asciiTheme="minorHAnsi" w:hAnsiTheme="minorHAnsi" w:cstheme="minorBidi"/>
        </w:rPr>
        <w:t>  safeguards against unauthorized use or disclosure of information relating to proceedings or actions to establish paternity, or to establish, modify, or enforce support, or to make or enforce a child custody determination;</w:t>
      </w:r>
    </w:p>
    <w:p w:rsidR="005D7D95" w:rsidRPr="00D207D4" w:rsidRDefault="005D7D95" w:rsidP="005D7D95">
      <w:pPr>
        <w:spacing w:after="120"/>
        <w:ind w:left="1440"/>
        <w:rPr>
          <w:rFonts w:asciiTheme="minorHAnsi" w:hAnsiTheme="minorHAnsi" w:cstheme="minorBidi"/>
        </w:rPr>
      </w:pPr>
      <w:r w:rsidRPr="00D207D4">
        <w:rPr>
          <w:rFonts w:asciiTheme="minorHAnsi" w:hAnsiTheme="minorHAnsi" w:cstheme="minorBidi"/>
          <w:bCs/>
        </w:rPr>
        <w:t>(B)</w:t>
      </w:r>
      <w:r w:rsidRPr="00D207D4">
        <w:rPr>
          <w:rFonts w:asciiTheme="minorHAnsi" w:hAnsiTheme="minorHAnsi" w:cstheme="minorBidi"/>
        </w:rPr>
        <w:t>  prohibitions against the release of information on the whereabouts of 1 party or the child to another party against whom a protective order with respect to the former party or the child has been entered;</w:t>
      </w:r>
    </w:p>
    <w:p w:rsidR="005D7D95" w:rsidRPr="00D207D4" w:rsidRDefault="005D7D95" w:rsidP="005D7D95">
      <w:pPr>
        <w:spacing w:after="120"/>
        <w:ind w:left="1440"/>
        <w:rPr>
          <w:rFonts w:asciiTheme="minorHAnsi" w:hAnsiTheme="minorHAnsi" w:cstheme="minorBidi"/>
        </w:rPr>
      </w:pPr>
      <w:r w:rsidRPr="00D207D4">
        <w:rPr>
          <w:rFonts w:asciiTheme="minorHAnsi" w:hAnsiTheme="minorHAnsi" w:cstheme="minorBidi"/>
          <w:bCs/>
        </w:rPr>
        <w:t>(C)</w:t>
      </w:r>
      <w:r w:rsidRPr="00D207D4">
        <w:rPr>
          <w:rFonts w:asciiTheme="minorHAnsi" w:hAnsiTheme="minorHAnsi" w:cstheme="minorBidi"/>
        </w:rPr>
        <w:t>  prohibitions against the release of information on the whereabouts of 1 party or the child to another person if the State has reason to believe that the release of the information to that person may result in physical or emotional harm to the party or the child;</w:t>
      </w:r>
    </w:p>
    <w:p w:rsidR="005D7D95" w:rsidRPr="00D207D4" w:rsidRDefault="005D7D95" w:rsidP="005D7D95">
      <w:pPr>
        <w:spacing w:after="120"/>
        <w:ind w:left="1440"/>
        <w:rPr>
          <w:rFonts w:asciiTheme="minorHAnsi" w:hAnsiTheme="minorHAnsi" w:cstheme="minorBidi"/>
        </w:rPr>
      </w:pPr>
      <w:r w:rsidRPr="00D207D4">
        <w:rPr>
          <w:rFonts w:asciiTheme="minorHAnsi" w:hAnsiTheme="minorHAnsi" w:cstheme="minorBidi"/>
          <w:bCs/>
        </w:rPr>
        <w:t>(D)</w:t>
      </w:r>
      <w:r w:rsidRPr="00D207D4">
        <w:rPr>
          <w:rFonts w:asciiTheme="minorHAnsi" w:hAnsiTheme="minorHAnsi" w:cstheme="minorBidi"/>
        </w:rPr>
        <w:t>  in cases in which the prohibitions under subparagraphs (B) and (C) apply, the requirement to notify the Secretary, for purposes of section 453(b)(2) [</w:t>
      </w:r>
      <w:hyperlink r:id="rId10" w:history="1">
        <w:r w:rsidRPr="00D207D4">
          <w:rPr>
            <w:rStyle w:val="Hyperlink"/>
            <w:rFonts w:asciiTheme="minorHAnsi" w:hAnsiTheme="minorHAnsi" w:cstheme="minorBidi"/>
            <w:color w:val="auto"/>
          </w:rPr>
          <w:t>42 USCS § 653(b)(2)</w:t>
        </w:r>
      </w:hyperlink>
      <w:r w:rsidRPr="00D207D4">
        <w:rPr>
          <w:rFonts w:asciiTheme="minorHAnsi" w:hAnsiTheme="minorHAnsi" w:cstheme="minorBidi"/>
        </w:rPr>
        <w:t>], that the State has reasonable evidence of domestic violence or child abuse against a party or the child and that the disclosure of such information could be harmful to the party or the child; and</w:t>
      </w:r>
    </w:p>
    <w:p w:rsidR="005D7D95" w:rsidRPr="00D207D4" w:rsidRDefault="005D7D95" w:rsidP="005D7D95">
      <w:pPr>
        <w:spacing w:after="120"/>
        <w:ind w:left="1440"/>
        <w:rPr>
          <w:rFonts w:asciiTheme="minorHAnsi" w:hAnsiTheme="minorHAnsi" w:cstheme="minorBidi"/>
        </w:rPr>
      </w:pPr>
      <w:r w:rsidRPr="00D207D4">
        <w:rPr>
          <w:rFonts w:asciiTheme="minorHAnsi" w:hAnsiTheme="minorHAnsi" w:cstheme="minorBidi"/>
          <w:bCs/>
        </w:rPr>
        <w:t>(E)</w:t>
      </w:r>
      <w:r w:rsidRPr="00D207D4">
        <w:rPr>
          <w:rFonts w:asciiTheme="minorHAnsi" w:hAnsiTheme="minorHAnsi" w:cstheme="minorBidi"/>
        </w:rPr>
        <w:t>  procedures providing that when the Secretary discloses information about a parent or child to a State court or an agent of a State court described in section 453(c)(2) or 463(d)(2)(B) [</w:t>
      </w:r>
      <w:hyperlink r:id="rId11" w:history="1">
        <w:r w:rsidRPr="00D207D4">
          <w:rPr>
            <w:rStyle w:val="Hyperlink"/>
            <w:rFonts w:asciiTheme="minorHAnsi" w:hAnsiTheme="minorHAnsi" w:cstheme="minorBidi"/>
            <w:color w:val="auto"/>
          </w:rPr>
          <w:t>42 USCS § 653(c)(2)</w:t>
        </w:r>
      </w:hyperlink>
      <w:r w:rsidRPr="00D207D4">
        <w:rPr>
          <w:rFonts w:asciiTheme="minorHAnsi" w:hAnsiTheme="minorHAnsi" w:cstheme="minorBidi"/>
        </w:rPr>
        <w:t xml:space="preserve"> or </w:t>
      </w:r>
      <w:hyperlink r:id="rId12" w:history="1">
        <w:r w:rsidRPr="00D207D4">
          <w:rPr>
            <w:rStyle w:val="Hyperlink"/>
            <w:rFonts w:asciiTheme="minorHAnsi" w:hAnsiTheme="minorHAnsi" w:cstheme="minorBidi"/>
            <w:color w:val="auto"/>
          </w:rPr>
          <w:t>663(d)(2)(B)</w:t>
        </w:r>
      </w:hyperlink>
      <w:r w:rsidRPr="00D207D4">
        <w:rPr>
          <w:rFonts w:asciiTheme="minorHAnsi" w:hAnsiTheme="minorHAnsi" w:cstheme="minorBidi"/>
        </w:rPr>
        <w:t>], and advises that court or agent that the Secretary has been notified that there is reasonable evidence of domestic violence or child abuse pursuant to section 453(b)(2) [</w:t>
      </w:r>
      <w:hyperlink r:id="rId13" w:history="1">
        <w:r w:rsidRPr="00D207D4">
          <w:rPr>
            <w:rStyle w:val="Hyperlink"/>
            <w:rFonts w:asciiTheme="minorHAnsi" w:hAnsiTheme="minorHAnsi" w:cstheme="minorBidi"/>
            <w:color w:val="auto"/>
          </w:rPr>
          <w:t>42 USCS § 653(b)(2)</w:t>
        </w:r>
      </w:hyperlink>
      <w:r w:rsidRPr="00D207D4">
        <w:rPr>
          <w:rFonts w:asciiTheme="minorHAnsi" w:hAnsiTheme="minorHAnsi" w:cstheme="minorBidi"/>
        </w:rPr>
        <w:t>], the court shall determine whether disclosure to any other person of information received from the Secretary could be harmful to the parent or child and, if the court determines that disclosure to any other person could be harmful, the court and its agents shall not make any such disclosure;</w:t>
      </w:r>
    </w:p>
    <w:p w:rsidR="005D7D95" w:rsidRPr="00D207D4" w:rsidRDefault="005D7D95" w:rsidP="005D7D95">
      <w:pPr>
        <w:pStyle w:val="ListParagraph"/>
        <w:numPr>
          <w:ilvl w:val="0"/>
          <w:numId w:val="6"/>
        </w:numPr>
        <w:spacing w:after="120" w:line="240" w:lineRule="auto"/>
        <w:contextualSpacing w:val="0"/>
        <w:rPr>
          <w:rFonts w:asciiTheme="minorHAnsi" w:hAnsiTheme="minorHAnsi" w:cstheme="minorBidi"/>
        </w:rPr>
      </w:pPr>
      <w:r w:rsidRPr="00D207D4">
        <w:rPr>
          <w:rFonts w:asciiTheme="minorHAnsi" w:hAnsiTheme="minorHAnsi" w:cstheme="minorBidi"/>
          <w:b/>
        </w:rPr>
        <w:t>42 U.S.C. §654a(d)</w:t>
      </w:r>
      <w:r w:rsidRPr="00D207D4">
        <w:rPr>
          <w:rFonts w:asciiTheme="minorHAnsi" w:hAnsiTheme="minorHAnsi" w:cstheme="minorBidi"/>
        </w:rPr>
        <w:t xml:space="preserve"> - Information integrity and security. The State agency shall have in effect safeguards on the integrity, accuracy, and completeness of, access to, and use of data in the automated system required by this section, which shall include the following (in addition to such other safeguards as the Secretary may specify in regulations):</w:t>
      </w:r>
    </w:p>
    <w:p w:rsidR="005D7D95" w:rsidRPr="00D207D4" w:rsidRDefault="005D7D95" w:rsidP="005D7D95">
      <w:pPr>
        <w:spacing w:after="120"/>
        <w:ind w:left="1080"/>
        <w:rPr>
          <w:rFonts w:asciiTheme="minorHAnsi" w:hAnsiTheme="minorHAnsi" w:cstheme="minorBidi"/>
        </w:rPr>
      </w:pPr>
      <w:r w:rsidRPr="00D207D4">
        <w:rPr>
          <w:rFonts w:asciiTheme="minorHAnsi" w:hAnsiTheme="minorHAnsi" w:cstheme="minorBidi"/>
          <w:bCs/>
        </w:rPr>
        <w:t>(1)</w:t>
      </w:r>
      <w:r w:rsidRPr="00D207D4">
        <w:rPr>
          <w:rFonts w:asciiTheme="minorHAnsi" w:hAnsiTheme="minorHAnsi" w:cstheme="minorBidi"/>
        </w:rPr>
        <w:t>  Policies restricting access. Written policies concerning access to data by State agency personnel, and sharing of data with other persons, which--</w:t>
      </w:r>
    </w:p>
    <w:p w:rsidR="005D7D95" w:rsidRPr="00D207D4" w:rsidRDefault="005D7D95" w:rsidP="005D7D95">
      <w:pPr>
        <w:spacing w:after="120"/>
        <w:ind w:left="1440"/>
        <w:rPr>
          <w:rFonts w:asciiTheme="minorHAnsi" w:hAnsiTheme="minorHAnsi" w:cstheme="minorBidi"/>
        </w:rPr>
      </w:pPr>
      <w:r w:rsidRPr="00D207D4">
        <w:rPr>
          <w:rFonts w:asciiTheme="minorHAnsi" w:hAnsiTheme="minorHAnsi" w:cstheme="minorBidi"/>
          <w:bCs/>
        </w:rPr>
        <w:t>(A)</w:t>
      </w:r>
      <w:r w:rsidRPr="00D207D4">
        <w:rPr>
          <w:rFonts w:asciiTheme="minorHAnsi" w:hAnsiTheme="minorHAnsi" w:cstheme="minorBidi"/>
        </w:rPr>
        <w:t>  permit access to and use of data only to the extent necessary to carry out the State program under this part [</w:t>
      </w:r>
      <w:hyperlink r:id="rId14" w:history="1">
        <w:r w:rsidRPr="00D207D4">
          <w:rPr>
            <w:rStyle w:val="Hyperlink"/>
            <w:rFonts w:asciiTheme="minorHAnsi" w:hAnsiTheme="minorHAnsi" w:cstheme="minorBidi"/>
            <w:color w:val="auto"/>
          </w:rPr>
          <w:t>42 USCS §§ 651</w:t>
        </w:r>
      </w:hyperlink>
      <w:r w:rsidRPr="00D207D4">
        <w:rPr>
          <w:rFonts w:asciiTheme="minorHAnsi" w:hAnsiTheme="minorHAnsi" w:cstheme="minorBidi"/>
        </w:rPr>
        <w:t xml:space="preserve"> et seq.]; and</w:t>
      </w:r>
    </w:p>
    <w:p w:rsidR="005D7D95" w:rsidRPr="00D207D4" w:rsidRDefault="005D7D95" w:rsidP="005D7D95">
      <w:pPr>
        <w:spacing w:after="120"/>
        <w:ind w:left="1440"/>
        <w:rPr>
          <w:rFonts w:asciiTheme="minorHAnsi" w:hAnsiTheme="minorHAnsi" w:cstheme="minorBidi"/>
        </w:rPr>
      </w:pPr>
      <w:r w:rsidRPr="00D207D4">
        <w:rPr>
          <w:rFonts w:asciiTheme="minorHAnsi" w:hAnsiTheme="minorHAnsi" w:cstheme="minorBidi"/>
          <w:bCs/>
        </w:rPr>
        <w:t>(B)</w:t>
      </w:r>
      <w:r w:rsidRPr="00D207D4">
        <w:rPr>
          <w:rFonts w:asciiTheme="minorHAnsi" w:hAnsiTheme="minorHAnsi" w:cstheme="minorBidi"/>
        </w:rPr>
        <w:t xml:space="preserve">  specify the data which may be used for </w:t>
      </w:r>
      <w:proofErr w:type="gramStart"/>
      <w:r w:rsidRPr="00D207D4">
        <w:rPr>
          <w:rFonts w:asciiTheme="minorHAnsi" w:hAnsiTheme="minorHAnsi" w:cstheme="minorBidi"/>
        </w:rPr>
        <w:t>particular program</w:t>
      </w:r>
      <w:proofErr w:type="gramEnd"/>
      <w:r w:rsidRPr="00D207D4">
        <w:rPr>
          <w:rFonts w:asciiTheme="minorHAnsi" w:hAnsiTheme="minorHAnsi" w:cstheme="minorBidi"/>
        </w:rPr>
        <w:t xml:space="preserve"> purposes, and the personnel permitted access to such data.</w:t>
      </w:r>
    </w:p>
    <w:p w:rsidR="005D7D95" w:rsidRPr="00D207D4" w:rsidRDefault="005D7D95" w:rsidP="005D7D95">
      <w:pPr>
        <w:spacing w:after="120"/>
        <w:ind w:left="1080"/>
        <w:rPr>
          <w:rFonts w:asciiTheme="minorHAnsi" w:hAnsiTheme="minorHAnsi" w:cstheme="minorBidi"/>
        </w:rPr>
      </w:pPr>
      <w:r w:rsidRPr="00D207D4">
        <w:rPr>
          <w:rFonts w:asciiTheme="minorHAnsi" w:hAnsiTheme="minorHAnsi" w:cstheme="minorBidi"/>
          <w:bCs/>
        </w:rPr>
        <w:t>(2)</w:t>
      </w:r>
      <w:r w:rsidRPr="00D207D4">
        <w:rPr>
          <w:rFonts w:asciiTheme="minorHAnsi" w:hAnsiTheme="minorHAnsi" w:cstheme="minorBidi"/>
        </w:rPr>
        <w:t>  Systems controls. Systems controls (such as passwords or blocking of fields) to ensure strict adherence to the policies described in paragraph (1).</w:t>
      </w:r>
    </w:p>
    <w:p w:rsidR="005D7D95" w:rsidRPr="00D207D4" w:rsidRDefault="005D7D95" w:rsidP="005D7D95">
      <w:pPr>
        <w:spacing w:after="120"/>
        <w:ind w:left="1080"/>
        <w:rPr>
          <w:rFonts w:asciiTheme="minorHAnsi" w:hAnsiTheme="minorHAnsi" w:cstheme="minorBidi"/>
        </w:rPr>
      </w:pPr>
      <w:r w:rsidRPr="00D207D4">
        <w:rPr>
          <w:rFonts w:asciiTheme="minorHAnsi" w:hAnsiTheme="minorHAnsi" w:cstheme="minorBidi"/>
          <w:bCs/>
        </w:rPr>
        <w:lastRenderedPageBreak/>
        <w:t>(3)</w:t>
      </w:r>
      <w:r w:rsidRPr="00D207D4">
        <w:rPr>
          <w:rFonts w:asciiTheme="minorHAnsi" w:hAnsiTheme="minorHAnsi" w:cstheme="minorBidi"/>
        </w:rPr>
        <w:t>  Monitoring of access. Routine monitoring of access to and use of the automated system, through methods such as audit trails and feedback mechanisms, to guard against and promptly identify unauthorized access or use.</w:t>
      </w:r>
    </w:p>
    <w:p w:rsidR="005D7D95" w:rsidRPr="00D207D4" w:rsidRDefault="005D7D95" w:rsidP="005D7D95">
      <w:pPr>
        <w:spacing w:after="120"/>
        <w:ind w:left="1080"/>
        <w:rPr>
          <w:rFonts w:asciiTheme="minorHAnsi" w:hAnsiTheme="minorHAnsi" w:cstheme="minorBidi"/>
        </w:rPr>
      </w:pPr>
      <w:r w:rsidRPr="00D207D4">
        <w:rPr>
          <w:rFonts w:asciiTheme="minorHAnsi" w:hAnsiTheme="minorHAnsi" w:cstheme="minorBidi"/>
          <w:bCs/>
        </w:rPr>
        <w:t>(4)</w:t>
      </w:r>
      <w:r w:rsidRPr="00D207D4">
        <w:rPr>
          <w:rFonts w:asciiTheme="minorHAnsi" w:hAnsiTheme="minorHAnsi" w:cstheme="minorBidi"/>
        </w:rPr>
        <w:t xml:space="preserve">  Training and information. Procedures to ensure that all personnel (including State and local agency staff and </w:t>
      </w:r>
      <w:r w:rsidR="008F1CC1">
        <w:rPr>
          <w:rFonts w:asciiTheme="minorHAnsi" w:hAnsiTheme="minorHAnsi" w:cstheme="minorBidi"/>
        </w:rPr>
        <w:t>Service Provider</w:t>
      </w:r>
      <w:r w:rsidRPr="00D207D4">
        <w:rPr>
          <w:rFonts w:asciiTheme="minorHAnsi" w:hAnsiTheme="minorHAnsi" w:cstheme="minorBidi"/>
        </w:rPr>
        <w:t xml:space="preserve">s) who may have access to or be required to use confidential program data are informed of applicable requirements and penalties (including those in </w:t>
      </w:r>
      <w:hyperlink r:id="rId15" w:history="1">
        <w:r w:rsidRPr="00D207D4">
          <w:rPr>
            <w:rStyle w:val="Hyperlink"/>
            <w:rFonts w:asciiTheme="minorHAnsi" w:hAnsiTheme="minorHAnsi" w:cstheme="minorBidi"/>
            <w:color w:val="auto"/>
          </w:rPr>
          <w:t>section 6103 of the Internal Revenue Code of 1986</w:t>
        </w:r>
      </w:hyperlink>
      <w:r w:rsidRPr="00D207D4">
        <w:rPr>
          <w:rFonts w:asciiTheme="minorHAnsi" w:hAnsiTheme="minorHAnsi" w:cstheme="minorBidi"/>
        </w:rPr>
        <w:t xml:space="preserve"> [</w:t>
      </w:r>
      <w:hyperlink r:id="rId16" w:history="1">
        <w:r w:rsidRPr="00D207D4">
          <w:rPr>
            <w:rStyle w:val="Hyperlink"/>
            <w:rFonts w:asciiTheme="minorHAnsi" w:hAnsiTheme="minorHAnsi" w:cstheme="minorBidi"/>
            <w:color w:val="auto"/>
          </w:rPr>
          <w:t>26 USCS § 6103</w:t>
        </w:r>
      </w:hyperlink>
      <w:r w:rsidRPr="00D207D4">
        <w:rPr>
          <w:rFonts w:asciiTheme="minorHAnsi" w:hAnsiTheme="minorHAnsi" w:cstheme="minorBidi"/>
        </w:rPr>
        <w:t>]), and are adequately trained in security procedures.</w:t>
      </w:r>
    </w:p>
    <w:p w:rsidR="005D7D95" w:rsidRPr="00D207D4" w:rsidRDefault="005D7D95" w:rsidP="005D7D95">
      <w:pPr>
        <w:spacing w:after="120"/>
        <w:ind w:left="1080"/>
        <w:rPr>
          <w:rFonts w:asciiTheme="minorHAnsi" w:hAnsiTheme="minorHAnsi" w:cstheme="minorBidi"/>
        </w:rPr>
      </w:pPr>
      <w:r w:rsidRPr="00D207D4">
        <w:rPr>
          <w:rFonts w:asciiTheme="minorHAnsi" w:hAnsiTheme="minorHAnsi" w:cstheme="minorBidi"/>
          <w:bCs/>
        </w:rPr>
        <w:t>(5)</w:t>
      </w:r>
      <w:r w:rsidRPr="00D207D4">
        <w:rPr>
          <w:rFonts w:asciiTheme="minorHAnsi" w:hAnsiTheme="minorHAnsi" w:cstheme="minorBidi"/>
        </w:rPr>
        <w:t>  Penalties. Administrative penalties (up to and including dismissal from employment) for unauthorized access to, or disclosure or use of, confidential data.</w:t>
      </w:r>
    </w:p>
    <w:p w:rsidR="005D7D95" w:rsidRPr="00D207D4" w:rsidRDefault="005D7D95" w:rsidP="005D7D95">
      <w:pPr>
        <w:pStyle w:val="ListParagraph"/>
        <w:numPr>
          <w:ilvl w:val="0"/>
          <w:numId w:val="6"/>
        </w:numPr>
        <w:spacing w:after="120" w:line="240" w:lineRule="auto"/>
        <w:contextualSpacing w:val="0"/>
        <w:rPr>
          <w:rFonts w:asciiTheme="minorHAnsi" w:hAnsiTheme="minorHAnsi" w:cstheme="minorBidi"/>
        </w:rPr>
      </w:pPr>
      <w:r w:rsidRPr="00D207D4">
        <w:rPr>
          <w:rFonts w:asciiTheme="minorHAnsi" w:hAnsiTheme="minorHAnsi" w:cstheme="minorBidi"/>
          <w:b/>
        </w:rPr>
        <w:t>45 CFR 303.3(b)(6)</w:t>
      </w:r>
      <w:r w:rsidRPr="00D207D4">
        <w:rPr>
          <w:rFonts w:asciiTheme="minorHAnsi" w:hAnsiTheme="minorHAnsi" w:cstheme="minorBidi"/>
        </w:rPr>
        <w:t xml:space="preserve"> - For all cases referred to the IV-D program for IV-D services because of an assignment of support rights or cases opened upon application for IV-D services under § 302.33 of this chapter, the IV-D program must attempt to locate all noncustodial parents or their sources of income and/or assets when location is needed to take a necessary action. Under this standard, the IV-D program must: ***</w:t>
      </w:r>
    </w:p>
    <w:p w:rsidR="005D7D95" w:rsidRPr="00D207D4" w:rsidRDefault="005D7D95" w:rsidP="005D7D95">
      <w:pPr>
        <w:spacing w:after="120"/>
        <w:ind w:left="1080"/>
        <w:rPr>
          <w:rFonts w:asciiTheme="minorHAnsi" w:hAnsiTheme="minorHAnsi" w:cstheme="minorBidi"/>
        </w:rPr>
      </w:pPr>
      <w:r w:rsidRPr="00D207D4">
        <w:rPr>
          <w:rFonts w:asciiTheme="minorHAnsi" w:hAnsiTheme="minorHAnsi" w:cstheme="minorBidi"/>
        </w:rPr>
        <w:t>(6) Have in effect safeguards, applicable to all confidential information handled by the IV-D program, that are designed to protect the privacy rights of the parties and that comply with the requirements of sections 454(26) and 454A(d) and (f) of the Act and §§ 303.21 and 307.13.</w:t>
      </w:r>
    </w:p>
    <w:p w:rsidR="005D7D95" w:rsidRPr="00D207D4" w:rsidRDefault="005D7D95" w:rsidP="005D7D95">
      <w:pPr>
        <w:numPr>
          <w:ilvl w:val="0"/>
          <w:numId w:val="7"/>
        </w:numPr>
        <w:spacing w:after="120" w:line="240" w:lineRule="auto"/>
        <w:rPr>
          <w:rFonts w:asciiTheme="minorHAnsi" w:hAnsiTheme="minorHAnsi" w:cstheme="minorBidi"/>
        </w:rPr>
      </w:pPr>
      <w:r w:rsidRPr="00D207D4">
        <w:rPr>
          <w:rFonts w:asciiTheme="minorHAnsi" w:hAnsiTheme="minorHAnsi" w:cstheme="minorBidi"/>
          <w:b/>
        </w:rPr>
        <w:t>45 CFR 303.21(a)</w:t>
      </w:r>
      <w:r w:rsidRPr="00D207D4">
        <w:rPr>
          <w:rFonts w:asciiTheme="minorHAnsi" w:hAnsiTheme="minorHAnsi" w:cstheme="minorBidi"/>
        </w:rPr>
        <w:t xml:space="preserve"> - Definitions—</w:t>
      </w:r>
    </w:p>
    <w:p w:rsidR="005D7D95" w:rsidRPr="00D207D4" w:rsidRDefault="005D7D95" w:rsidP="005D7D95">
      <w:pPr>
        <w:spacing w:after="120"/>
        <w:ind w:left="1080"/>
        <w:rPr>
          <w:rFonts w:asciiTheme="minorHAnsi" w:hAnsiTheme="minorHAnsi" w:cstheme="minorBidi"/>
        </w:rPr>
      </w:pPr>
      <w:r w:rsidRPr="00D207D4">
        <w:rPr>
          <w:rFonts w:asciiTheme="minorHAnsi" w:hAnsiTheme="minorHAnsi" w:cstheme="minorBidi"/>
        </w:rPr>
        <w:t>(1) Confidential information means any information relating to a specified individual or an individual who can be identified by reference to one or more factors specific to him or her, including but not limited to the individual's Social Security number, residential and mailing addresses, employment information, and financial information.</w:t>
      </w:r>
    </w:p>
    <w:p w:rsidR="005D7D95" w:rsidRPr="00D207D4" w:rsidRDefault="005D7D95" w:rsidP="005D7D95">
      <w:pPr>
        <w:tabs>
          <w:tab w:val="num" w:pos="1440"/>
        </w:tabs>
        <w:spacing w:after="120"/>
        <w:ind w:left="1080"/>
        <w:rPr>
          <w:rFonts w:asciiTheme="minorHAnsi" w:hAnsiTheme="minorHAnsi" w:cstheme="minorBidi"/>
        </w:rPr>
      </w:pPr>
      <w:r w:rsidRPr="00D207D4">
        <w:rPr>
          <w:rFonts w:asciiTheme="minorHAnsi" w:hAnsiTheme="minorHAnsi" w:cstheme="minorBidi"/>
        </w:rPr>
        <w:t xml:space="preserve">(2) Independent verification is the process of acquiring and confirming confidential information </w:t>
      </w:r>
      <w:proofErr w:type="gramStart"/>
      <w:r w:rsidRPr="00D207D4">
        <w:rPr>
          <w:rFonts w:asciiTheme="minorHAnsi" w:hAnsiTheme="minorHAnsi" w:cstheme="minorBidi"/>
        </w:rPr>
        <w:t>through the use of</w:t>
      </w:r>
      <w:proofErr w:type="gramEnd"/>
      <w:r w:rsidRPr="00D207D4">
        <w:rPr>
          <w:rFonts w:asciiTheme="minorHAnsi" w:hAnsiTheme="minorHAnsi" w:cstheme="minorBidi"/>
        </w:rPr>
        <w:t xml:space="preserve"> a second source. The information from the second source, which verifies the information about NDNH or FCR data, may be released to those authorized to inspect and use the information as authorized under the regulations or the Act.</w:t>
      </w:r>
    </w:p>
    <w:p w:rsidR="005D7D95" w:rsidRPr="00D207D4" w:rsidRDefault="005D7D95" w:rsidP="005D7D95">
      <w:pPr>
        <w:numPr>
          <w:ilvl w:val="0"/>
          <w:numId w:val="8"/>
        </w:numPr>
        <w:spacing w:after="120" w:line="240" w:lineRule="auto"/>
        <w:rPr>
          <w:rFonts w:asciiTheme="minorHAnsi" w:hAnsiTheme="minorHAnsi" w:cstheme="minorBidi"/>
        </w:rPr>
      </w:pPr>
      <w:r w:rsidRPr="00D207D4">
        <w:rPr>
          <w:rFonts w:asciiTheme="minorHAnsi" w:hAnsiTheme="minorHAnsi" w:cstheme="minorBidi"/>
          <w:b/>
        </w:rPr>
        <w:t>45 CFR 307.13</w:t>
      </w:r>
      <w:r w:rsidRPr="00D207D4">
        <w:rPr>
          <w:rFonts w:asciiTheme="minorHAnsi" w:hAnsiTheme="minorHAnsi" w:cstheme="minorBidi"/>
        </w:rPr>
        <w:t xml:space="preserve"> - The State IV-D agency shall:</w:t>
      </w:r>
    </w:p>
    <w:p w:rsidR="005D7D95" w:rsidRPr="00D207D4" w:rsidRDefault="005D7D95" w:rsidP="005D7D95">
      <w:pPr>
        <w:spacing w:after="120"/>
        <w:ind w:left="1080"/>
        <w:rPr>
          <w:rFonts w:asciiTheme="minorHAnsi" w:hAnsiTheme="minorHAnsi" w:cstheme="minorBidi"/>
        </w:rPr>
      </w:pPr>
      <w:r w:rsidRPr="00D207D4">
        <w:rPr>
          <w:rFonts w:asciiTheme="minorHAnsi" w:hAnsiTheme="minorHAnsi" w:cstheme="minorBidi"/>
        </w:rPr>
        <w:t>(a) Information integrity and security. Have safeguards protecting the integrity, accuracy, completeness of, access to, and use of data in the computerized support enforcement system. These safeguards shall include written policies concerning access to data by IV-D agency personnel, and the sharing of data with other persons to:</w:t>
      </w:r>
    </w:p>
    <w:p w:rsidR="005D7D95" w:rsidRPr="00D207D4" w:rsidRDefault="005D7D95" w:rsidP="005D7D95">
      <w:pPr>
        <w:spacing w:after="120"/>
        <w:ind w:left="1440"/>
        <w:rPr>
          <w:rFonts w:asciiTheme="minorHAnsi" w:hAnsiTheme="minorHAnsi" w:cstheme="minorBidi"/>
        </w:rPr>
      </w:pPr>
      <w:r w:rsidRPr="00D207D4">
        <w:rPr>
          <w:rFonts w:asciiTheme="minorHAnsi" w:hAnsiTheme="minorHAnsi" w:cstheme="minorBidi"/>
        </w:rPr>
        <w:t>(1) Permit access to and use of data to the extent necessary to carry out the State IV-D program under this chapter;</w:t>
      </w:r>
    </w:p>
    <w:p w:rsidR="005D7D95" w:rsidRPr="00D207D4" w:rsidRDefault="005D7D95" w:rsidP="005D7D95">
      <w:pPr>
        <w:spacing w:after="120"/>
        <w:ind w:left="1440"/>
        <w:rPr>
          <w:rFonts w:asciiTheme="minorHAnsi" w:hAnsiTheme="minorHAnsi" w:cstheme="minorBidi"/>
        </w:rPr>
      </w:pPr>
      <w:r w:rsidRPr="00D207D4">
        <w:rPr>
          <w:rFonts w:asciiTheme="minorHAnsi" w:hAnsiTheme="minorHAnsi" w:cstheme="minorBidi"/>
        </w:rPr>
        <w:t xml:space="preserve">(2) Specify the data which may be used for </w:t>
      </w:r>
      <w:proofErr w:type="gramStart"/>
      <w:r w:rsidRPr="00D207D4">
        <w:rPr>
          <w:rFonts w:asciiTheme="minorHAnsi" w:hAnsiTheme="minorHAnsi" w:cstheme="minorBidi"/>
        </w:rPr>
        <w:t>particular IV-D</w:t>
      </w:r>
      <w:proofErr w:type="gramEnd"/>
      <w:r w:rsidRPr="00D207D4">
        <w:rPr>
          <w:rFonts w:asciiTheme="minorHAnsi" w:hAnsiTheme="minorHAnsi" w:cstheme="minorBidi"/>
        </w:rPr>
        <w:t xml:space="preserve"> program purposes, and the personnel permitted access to such data;</w:t>
      </w:r>
    </w:p>
    <w:p w:rsidR="005D7D95" w:rsidRPr="00D207D4" w:rsidRDefault="005D7D95" w:rsidP="005D7D95">
      <w:pPr>
        <w:spacing w:after="120"/>
        <w:ind w:left="1440"/>
        <w:rPr>
          <w:rFonts w:asciiTheme="minorHAnsi" w:hAnsiTheme="minorHAnsi" w:cstheme="minorBidi"/>
        </w:rPr>
      </w:pPr>
      <w:r w:rsidRPr="00D207D4">
        <w:rPr>
          <w:rFonts w:asciiTheme="minorHAnsi" w:hAnsiTheme="minorHAnsi" w:cstheme="minorBidi"/>
        </w:rPr>
        <w:lastRenderedPageBreak/>
        <w:t>(3) Permit disclosure of information to State agencies administering programs under titles IV (including Tribal programs under title IV), XIX, and XXI of the Act, and SNAP, to the extent necessary to assist them to carry out their responsibilities under such programs in accordance with section 454A(f)(3) of the Act, to the extent that it does not interfere with the IV-D program meeting its own obligations and subject to such requirements as prescribed by the Office.</w:t>
      </w:r>
    </w:p>
    <w:p w:rsidR="005D7D95" w:rsidRPr="00D207D4" w:rsidRDefault="005D7D95" w:rsidP="005D7D95">
      <w:pPr>
        <w:spacing w:after="120"/>
        <w:ind w:left="1440"/>
        <w:rPr>
          <w:rFonts w:asciiTheme="minorHAnsi" w:hAnsiTheme="minorHAnsi" w:cstheme="minorBidi"/>
        </w:rPr>
      </w:pPr>
      <w:r w:rsidRPr="00D207D4">
        <w:rPr>
          <w:rFonts w:asciiTheme="minorHAnsi" w:hAnsiTheme="minorHAnsi" w:cstheme="minorBidi"/>
        </w:rPr>
        <w:t>(4) Prohibit the disclosure of NDNH, FCR, financial institution, and IRS information outside the IV-D program except that:</w:t>
      </w:r>
    </w:p>
    <w:p w:rsidR="005D7D95" w:rsidRPr="00D207D4" w:rsidRDefault="005D7D95" w:rsidP="005D7D95">
      <w:pPr>
        <w:spacing w:after="120"/>
        <w:ind w:left="1800"/>
        <w:rPr>
          <w:rFonts w:asciiTheme="minorHAnsi" w:hAnsiTheme="minorHAnsi" w:cstheme="minorBidi"/>
        </w:rPr>
      </w:pPr>
      <w:r w:rsidRPr="00D207D4">
        <w:rPr>
          <w:rFonts w:asciiTheme="minorHAnsi" w:hAnsiTheme="minorHAnsi" w:cstheme="minorBidi"/>
        </w:rPr>
        <w:t>(i) IRS information is restricted as specified in the Internal Revenue Code;</w:t>
      </w:r>
    </w:p>
    <w:p w:rsidR="005D7D95" w:rsidRPr="00D207D4" w:rsidRDefault="005D7D95" w:rsidP="005D7D95">
      <w:pPr>
        <w:spacing w:after="120"/>
        <w:ind w:left="1800"/>
        <w:rPr>
          <w:rFonts w:asciiTheme="minorHAnsi" w:hAnsiTheme="minorHAnsi" w:cstheme="minorBidi"/>
        </w:rPr>
      </w:pPr>
      <w:r w:rsidRPr="00D207D4">
        <w:rPr>
          <w:rFonts w:asciiTheme="minorHAnsi" w:hAnsiTheme="minorHAnsi" w:cstheme="minorBidi"/>
        </w:rPr>
        <w:t>(ii) Independently verified information other than financial institution information may be released to authorized persons;</w:t>
      </w:r>
    </w:p>
    <w:p w:rsidR="005D7D95" w:rsidRPr="00D207D4" w:rsidRDefault="005D7D95" w:rsidP="005D7D95">
      <w:pPr>
        <w:spacing w:after="120"/>
        <w:ind w:left="1800"/>
        <w:rPr>
          <w:rFonts w:asciiTheme="minorHAnsi" w:hAnsiTheme="minorHAnsi" w:cstheme="minorBidi"/>
        </w:rPr>
      </w:pPr>
      <w:r w:rsidRPr="00D207D4">
        <w:rPr>
          <w:rFonts w:asciiTheme="minorHAnsi" w:hAnsiTheme="minorHAnsi" w:cstheme="minorBidi"/>
          <w:bCs/>
        </w:rPr>
        <w:t>(iii) NDNH and FCR information may be disclosed without</w:t>
      </w:r>
      <w:r w:rsidRPr="00D207D4">
        <w:rPr>
          <w:rFonts w:asciiTheme="minorHAnsi" w:hAnsiTheme="minorHAnsi" w:cstheme="minorBidi"/>
        </w:rPr>
        <w:t xml:space="preserve"> independent verification to IV-B and IV-E agencies to locate parents and putative fathers </w:t>
      </w:r>
      <w:proofErr w:type="gramStart"/>
      <w:r w:rsidRPr="00D207D4">
        <w:rPr>
          <w:rFonts w:asciiTheme="minorHAnsi" w:hAnsiTheme="minorHAnsi" w:cstheme="minorBidi"/>
        </w:rPr>
        <w:t>for the purpose of</w:t>
      </w:r>
      <w:proofErr w:type="gramEnd"/>
      <w:r w:rsidRPr="00D207D4">
        <w:rPr>
          <w:rFonts w:asciiTheme="minorHAnsi" w:hAnsiTheme="minorHAnsi" w:cstheme="minorBidi"/>
        </w:rPr>
        <w:t xml:space="preserve"> establishing parentage or establishing parental rights with respect to a child; and</w:t>
      </w:r>
    </w:p>
    <w:p w:rsidR="005D7D95" w:rsidRPr="00D207D4" w:rsidRDefault="005D7D95" w:rsidP="005D7D95">
      <w:pPr>
        <w:spacing w:after="120"/>
        <w:ind w:left="1800"/>
        <w:rPr>
          <w:rFonts w:asciiTheme="minorHAnsi" w:hAnsiTheme="minorHAnsi" w:cstheme="minorBidi"/>
        </w:rPr>
      </w:pPr>
      <w:r w:rsidRPr="00D207D4">
        <w:rPr>
          <w:rFonts w:asciiTheme="minorHAnsi" w:hAnsiTheme="minorHAnsi" w:cstheme="minorBidi"/>
        </w:rPr>
        <w:t xml:space="preserve">(iv) NDNH and FCR information may be disclosed without independent verification to title IV-D, IV-A, IV-B and IV-E agencies </w:t>
      </w:r>
      <w:proofErr w:type="gramStart"/>
      <w:r w:rsidRPr="00D207D4">
        <w:rPr>
          <w:rFonts w:asciiTheme="minorHAnsi" w:hAnsiTheme="minorHAnsi" w:cstheme="minorBidi"/>
        </w:rPr>
        <w:t>for the purpose of</w:t>
      </w:r>
      <w:proofErr w:type="gramEnd"/>
      <w:r w:rsidRPr="00D207D4">
        <w:rPr>
          <w:rFonts w:asciiTheme="minorHAnsi" w:hAnsiTheme="minorHAnsi" w:cstheme="minorBidi"/>
        </w:rPr>
        <w:t xml:space="preserve"> assisting States to carry out their responsibilities to administer title IV-D, IV-A, IV-B and IV-E programs.</w:t>
      </w:r>
    </w:p>
    <w:p w:rsidR="005D7D95" w:rsidRPr="00D207D4" w:rsidRDefault="005D7D95" w:rsidP="005D7D95">
      <w:pPr>
        <w:tabs>
          <w:tab w:val="num" w:pos="1440"/>
        </w:tabs>
        <w:spacing w:after="120"/>
        <w:ind w:left="1080"/>
        <w:rPr>
          <w:rFonts w:asciiTheme="minorHAnsi" w:hAnsiTheme="minorHAnsi" w:cstheme="minorBidi"/>
        </w:rPr>
      </w:pPr>
      <w:r w:rsidRPr="00D207D4">
        <w:rPr>
          <w:rFonts w:asciiTheme="minorHAnsi" w:hAnsiTheme="minorHAnsi" w:cstheme="minorBidi"/>
        </w:rPr>
        <w:t>(b) Monitoring of access. Monitor routine access to and use of the computerized support enforcement system through methods such as audit trails and feedback mechanisms to guard against, and promptly identify unauthorized access or use;</w:t>
      </w:r>
    </w:p>
    <w:p w:rsidR="005D7D95" w:rsidRPr="00D207D4" w:rsidRDefault="005D7D95" w:rsidP="005D7D95">
      <w:pPr>
        <w:tabs>
          <w:tab w:val="num" w:pos="1440"/>
        </w:tabs>
        <w:spacing w:after="120"/>
        <w:ind w:left="1080"/>
        <w:rPr>
          <w:rFonts w:asciiTheme="minorHAnsi" w:hAnsiTheme="minorHAnsi" w:cstheme="minorBidi"/>
        </w:rPr>
      </w:pPr>
      <w:r w:rsidRPr="00D207D4">
        <w:rPr>
          <w:rFonts w:asciiTheme="minorHAnsi" w:hAnsiTheme="minorHAnsi" w:cstheme="minorBidi"/>
        </w:rPr>
        <w:t xml:space="preserve">(c) Training and information. Have procedures to ensure that all personnel, including State and local staff and </w:t>
      </w:r>
      <w:r w:rsidR="008F1CC1">
        <w:rPr>
          <w:rFonts w:asciiTheme="minorHAnsi" w:hAnsiTheme="minorHAnsi" w:cstheme="minorBidi"/>
        </w:rPr>
        <w:t>Service Provider</w:t>
      </w:r>
      <w:r w:rsidRPr="00D207D4">
        <w:rPr>
          <w:rFonts w:asciiTheme="minorHAnsi" w:hAnsiTheme="minorHAnsi" w:cstheme="minorBidi"/>
        </w:rPr>
        <w:t>s, who may have access to or be required to use confidential program data in the computerized support enforcement system are:</w:t>
      </w:r>
    </w:p>
    <w:p w:rsidR="005D7D95" w:rsidRPr="00D207D4" w:rsidRDefault="005D7D95" w:rsidP="005D7D95">
      <w:pPr>
        <w:spacing w:after="120"/>
        <w:ind w:left="1440"/>
        <w:rPr>
          <w:rFonts w:asciiTheme="minorHAnsi" w:hAnsiTheme="minorHAnsi" w:cstheme="minorBidi"/>
        </w:rPr>
      </w:pPr>
      <w:r w:rsidRPr="00D207D4">
        <w:rPr>
          <w:rFonts w:asciiTheme="minorHAnsi" w:hAnsiTheme="minorHAnsi" w:cstheme="minorBidi"/>
        </w:rPr>
        <w:t>(1) Informed of applicable requirements and penalties, including those in section 6103 of the Internal Revenue Service Code and section 453 of the Act; and</w:t>
      </w:r>
    </w:p>
    <w:p w:rsidR="005D7D95" w:rsidRPr="00D207D4" w:rsidRDefault="005D7D95" w:rsidP="005D7D95">
      <w:pPr>
        <w:spacing w:after="120"/>
        <w:ind w:left="1440"/>
        <w:rPr>
          <w:rFonts w:asciiTheme="minorHAnsi" w:hAnsiTheme="minorHAnsi" w:cstheme="minorBidi"/>
        </w:rPr>
      </w:pPr>
      <w:r w:rsidRPr="00D207D4">
        <w:rPr>
          <w:rFonts w:asciiTheme="minorHAnsi" w:hAnsiTheme="minorHAnsi" w:cstheme="minorBidi"/>
        </w:rPr>
        <w:t>(2) Adequately trained in security procedures; and</w:t>
      </w:r>
    </w:p>
    <w:p w:rsidR="005D7D95" w:rsidRPr="00D207D4" w:rsidRDefault="005D7D95" w:rsidP="005D7D95">
      <w:pPr>
        <w:tabs>
          <w:tab w:val="num" w:pos="1440"/>
        </w:tabs>
        <w:spacing w:after="120"/>
        <w:ind w:left="1080"/>
        <w:rPr>
          <w:rFonts w:asciiTheme="minorHAnsi" w:hAnsiTheme="minorHAnsi" w:cstheme="minorBidi"/>
        </w:rPr>
      </w:pPr>
      <w:r w:rsidRPr="00D207D4">
        <w:rPr>
          <w:rFonts w:asciiTheme="minorHAnsi" w:hAnsiTheme="minorHAnsi" w:cstheme="minorBidi"/>
        </w:rPr>
        <w:t>(d) Penalties. Have administrative penalties, including dismissal from employment, for unauthorized access to, disclosure or use of confidential information.</w:t>
      </w:r>
    </w:p>
    <w:p w:rsidR="008149D1" w:rsidRPr="00D207D4" w:rsidRDefault="008149D1" w:rsidP="005D7D95">
      <w:pPr>
        <w:spacing w:after="120" w:line="240" w:lineRule="auto"/>
      </w:pPr>
    </w:p>
    <w:sectPr w:rsidR="008149D1" w:rsidRPr="00D207D4">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BEF" w:rsidRDefault="00EB4BEF" w:rsidP="008149D1">
      <w:pPr>
        <w:spacing w:after="0" w:line="240" w:lineRule="auto"/>
      </w:pPr>
      <w:r>
        <w:separator/>
      </w:r>
    </w:p>
  </w:endnote>
  <w:endnote w:type="continuationSeparator" w:id="0">
    <w:p w:rsidR="00EB4BEF" w:rsidRDefault="00EB4BEF" w:rsidP="00814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BEF" w:rsidRDefault="00EB4BEF" w:rsidP="008149D1">
      <w:pPr>
        <w:spacing w:after="0" w:line="240" w:lineRule="auto"/>
      </w:pPr>
      <w:r>
        <w:separator/>
      </w:r>
    </w:p>
  </w:footnote>
  <w:footnote w:type="continuationSeparator" w:id="0">
    <w:p w:rsidR="00EB4BEF" w:rsidRDefault="00EB4BEF" w:rsidP="00814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9D1" w:rsidRDefault="008149D1" w:rsidP="008149D1">
    <w:r>
      <w:t>Safeguarding Contract Language –</w:t>
    </w:r>
    <w:r w:rsidR="00AA0EEF">
      <w:t xml:space="preserve">NDNH </w:t>
    </w:r>
    <w:r w:rsidR="00DB5852">
      <w:t xml:space="preserve">Information Provided by the </w:t>
    </w:r>
    <w:r w:rsidR="00AA0EEF">
      <w:t>Office of Child Support Enforcement (OCSE)</w:t>
    </w:r>
  </w:p>
  <w:p w:rsidR="008149D1" w:rsidRDefault="008149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50FF4"/>
    <w:multiLevelType w:val="multilevel"/>
    <w:tmpl w:val="6F92C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65C81"/>
    <w:multiLevelType w:val="multilevel"/>
    <w:tmpl w:val="FEC43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10E48"/>
    <w:multiLevelType w:val="hybridMultilevel"/>
    <w:tmpl w:val="CDE42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D7D06"/>
    <w:multiLevelType w:val="hybridMultilevel"/>
    <w:tmpl w:val="52143F3E"/>
    <w:lvl w:ilvl="0" w:tplc="B2168140">
      <w:start w:val="1"/>
      <w:numFmt w:val="bullet"/>
      <w:lvlText w:val="–"/>
      <w:lvlJc w:val="left"/>
      <w:pPr>
        <w:tabs>
          <w:tab w:val="num" w:pos="720"/>
        </w:tabs>
        <w:ind w:left="720" w:hanging="360"/>
      </w:pPr>
      <w:rPr>
        <w:rFonts w:ascii="Arial" w:hAnsi="Arial" w:hint="default"/>
      </w:rPr>
    </w:lvl>
    <w:lvl w:ilvl="1" w:tplc="02ACB8A8">
      <w:start w:val="1"/>
      <w:numFmt w:val="bullet"/>
      <w:lvlText w:val="–"/>
      <w:lvlJc w:val="left"/>
      <w:pPr>
        <w:tabs>
          <w:tab w:val="num" w:pos="1440"/>
        </w:tabs>
        <w:ind w:left="1440" w:hanging="360"/>
      </w:pPr>
      <w:rPr>
        <w:rFonts w:ascii="Arial" w:hAnsi="Arial" w:hint="default"/>
      </w:rPr>
    </w:lvl>
    <w:lvl w:ilvl="2" w:tplc="B3205758" w:tentative="1">
      <w:start w:val="1"/>
      <w:numFmt w:val="bullet"/>
      <w:lvlText w:val="–"/>
      <w:lvlJc w:val="left"/>
      <w:pPr>
        <w:tabs>
          <w:tab w:val="num" w:pos="2160"/>
        </w:tabs>
        <w:ind w:left="2160" w:hanging="360"/>
      </w:pPr>
      <w:rPr>
        <w:rFonts w:ascii="Arial" w:hAnsi="Arial" w:hint="default"/>
      </w:rPr>
    </w:lvl>
    <w:lvl w:ilvl="3" w:tplc="23C0C750" w:tentative="1">
      <w:start w:val="1"/>
      <w:numFmt w:val="bullet"/>
      <w:lvlText w:val="–"/>
      <w:lvlJc w:val="left"/>
      <w:pPr>
        <w:tabs>
          <w:tab w:val="num" w:pos="2880"/>
        </w:tabs>
        <w:ind w:left="2880" w:hanging="360"/>
      </w:pPr>
      <w:rPr>
        <w:rFonts w:ascii="Arial" w:hAnsi="Arial" w:hint="default"/>
      </w:rPr>
    </w:lvl>
    <w:lvl w:ilvl="4" w:tplc="014C02B2" w:tentative="1">
      <w:start w:val="1"/>
      <w:numFmt w:val="bullet"/>
      <w:lvlText w:val="–"/>
      <w:lvlJc w:val="left"/>
      <w:pPr>
        <w:tabs>
          <w:tab w:val="num" w:pos="3600"/>
        </w:tabs>
        <w:ind w:left="3600" w:hanging="360"/>
      </w:pPr>
      <w:rPr>
        <w:rFonts w:ascii="Arial" w:hAnsi="Arial" w:hint="default"/>
      </w:rPr>
    </w:lvl>
    <w:lvl w:ilvl="5" w:tplc="C406D0FE" w:tentative="1">
      <w:start w:val="1"/>
      <w:numFmt w:val="bullet"/>
      <w:lvlText w:val="–"/>
      <w:lvlJc w:val="left"/>
      <w:pPr>
        <w:tabs>
          <w:tab w:val="num" w:pos="4320"/>
        </w:tabs>
        <w:ind w:left="4320" w:hanging="360"/>
      </w:pPr>
      <w:rPr>
        <w:rFonts w:ascii="Arial" w:hAnsi="Arial" w:hint="default"/>
      </w:rPr>
    </w:lvl>
    <w:lvl w:ilvl="6" w:tplc="40B0264C" w:tentative="1">
      <w:start w:val="1"/>
      <w:numFmt w:val="bullet"/>
      <w:lvlText w:val="–"/>
      <w:lvlJc w:val="left"/>
      <w:pPr>
        <w:tabs>
          <w:tab w:val="num" w:pos="5040"/>
        </w:tabs>
        <w:ind w:left="5040" w:hanging="360"/>
      </w:pPr>
      <w:rPr>
        <w:rFonts w:ascii="Arial" w:hAnsi="Arial" w:hint="default"/>
      </w:rPr>
    </w:lvl>
    <w:lvl w:ilvl="7" w:tplc="A800B274" w:tentative="1">
      <w:start w:val="1"/>
      <w:numFmt w:val="bullet"/>
      <w:lvlText w:val="–"/>
      <w:lvlJc w:val="left"/>
      <w:pPr>
        <w:tabs>
          <w:tab w:val="num" w:pos="5760"/>
        </w:tabs>
        <w:ind w:left="5760" w:hanging="360"/>
      </w:pPr>
      <w:rPr>
        <w:rFonts w:ascii="Arial" w:hAnsi="Arial" w:hint="default"/>
      </w:rPr>
    </w:lvl>
    <w:lvl w:ilvl="8" w:tplc="87AA0BA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B706BEF"/>
    <w:multiLevelType w:val="hybridMultilevel"/>
    <w:tmpl w:val="3B70BB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A0087A"/>
    <w:multiLevelType w:val="hybridMultilevel"/>
    <w:tmpl w:val="5C8E1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5729D5"/>
    <w:multiLevelType w:val="hybridMultilevel"/>
    <w:tmpl w:val="16507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DDB15B7"/>
    <w:multiLevelType w:val="multilevel"/>
    <w:tmpl w:val="93163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5"/>
  </w:num>
  <w:num w:numId="5">
    <w:abstractNumId w:val="1"/>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D1"/>
    <w:rsid w:val="000428AF"/>
    <w:rsid w:val="001332B8"/>
    <w:rsid w:val="001D5CBC"/>
    <w:rsid w:val="001D7B2D"/>
    <w:rsid w:val="003C59C9"/>
    <w:rsid w:val="003E6820"/>
    <w:rsid w:val="0046058A"/>
    <w:rsid w:val="004E30F3"/>
    <w:rsid w:val="005D7D95"/>
    <w:rsid w:val="005F1EF7"/>
    <w:rsid w:val="00620C1C"/>
    <w:rsid w:val="00623FAA"/>
    <w:rsid w:val="007F162B"/>
    <w:rsid w:val="008149D1"/>
    <w:rsid w:val="008F1CC1"/>
    <w:rsid w:val="00AA0EEF"/>
    <w:rsid w:val="00B90E75"/>
    <w:rsid w:val="00C14869"/>
    <w:rsid w:val="00D207D4"/>
    <w:rsid w:val="00D5139D"/>
    <w:rsid w:val="00DA5068"/>
    <w:rsid w:val="00DB5852"/>
    <w:rsid w:val="00E33B74"/>
    <w:rsid w:val="00EB4BEF"/>
    <w:rsid w:val="00ED2661"/>
    <w:rsid w:val="00FA738A"/>
    <w:rsid w:val="00FC7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A6050"/>
  <w15:chartTrackingRefBased/>
  <w15:docId w15:val="{0843DF26-A78E-4C02-A28D-D1556875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9D1"/>
  </w:style>
  <w:style w:type="paragraph" w:styleId="Footer">
    <w:name w:val="footer"/>
    <w:basedOn w:val="Normal"/>
    <w:link w:val="FooterChar"/>
    <w:uiPriority w:val="99"/>
    <w:unhideWhenUsed/>
    <w:rsid w:val="00814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9D1"/>
  </w:style>
  <w:style w:type="paragraph" w:styleId="ListParagraph">
    <w:name w:val="List Paragraph"/>
    <w:basedOn w:val="Normal"/>
    <w:uiPriority w:val="34"/>
    <w:qFormat/>
    <w:rsid w:val="008149D1"/>
    <w:pPr>
      <w:ind w:left="720"/>
      <w:contextualSpacing/>
    </w:pPr>
  </w:style>
  <w:style w:type="character" w:styleId="Hyperlink">
    <w:name w:val="Hyperlink"/>
    <w:basedOn w:val="DefaultParagraphFont"/>
    <w:uiPriority w:val="99"/>
    <w:semiHidden/>
    <w:unhideWhenUsed/>
    <w:rsid w:val="001D7B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439134">
      <w:bodyDiv w:val="1"/>
      <w:marLeft w:val="0"/>
      <w:marRight w:val="0"/>
      <w:marTop w:val="0"/>
      <w:marBottom w:val="0"/>
      <w:divBdr>
        <w:top w:val="none" w:sz="0" w:space="0" w:color="auto"/>
        <w:left w:val="none" w:sz="0" w:space="0" w:color="auto"/>
        <w:bottom w:val="none" w:sz="0" w:space="0" w:color="auto"/>
        <w:right w:val="none" w:sz="0" w:space="0" w:color="auto"/>
      </w:divBdr>
      <w:divsChild>
        <w:div w:id="706683315">
          <w:marLeft w:val="1080"/>
          <w:marRight w:val="0"/>
          <w:marTop w:val="0"/>
          <w:marBottom w:val="240"/>
          <w:divBdr>
            <w:top w:val="none" w:sz="0" w:space="0" w:color="auto"/>
            <w:left w:val="none" w:sz="0" w:space="0" w:color="auto"/>
            <w:bottom w:val="none" w:sz="0" w:space="0" w:color="auto"/>
            <w:right w:val="none" w:sz="0" w:space="0" w:color="auto"/>
          </w:divBdr>
        </w:div>
        <w:div w:id="1265846998">
          <w:marLeft w:val="1080"/>
          <w:marRight w:val="0"/>
          <w:marTop w:val="0"/>
          <w:marBottom w:val="240"/>
          <w:divBdr>
            <w:top w:val="none" w:sz="0" w:space="0" w:color="auto"/>
            <w:left w:val="none" w:sz="0" w:space="0" w:color="auto"/>
            <w:bottom w:val="none" w:sz="0" w:space="0" w:color="auto"/>
            <w:right w:val="none" w:sz="0" w:space="0" w:color="auto"/>
          </w:divBdr>
        </w:div>
      </w:divsChild>
    </w:div>
    <w:div w:id="906232108">
      <w:bodyDiv w:val="1"/>
      <w:marLeft w:val="0"/>
      <w:marRight w:val="0"/>
      <w:marTop w:val="0"/>
      <w:marBottom w:val="0"/>
      <w:divBdr>
        <w:top w:val="none" w:sz="0" w:space="0" w:color="auto"/>
        <w:left w:val="none" w:sz="0" w:space="0" w:color="auto"/>
        <w:bottom w:val="none" w:sz="0" w:space="0" w:color="auto"/>
        <w:right w:val="none" w:sz="0" w:space="0" w:color="auto"/>
      </w:divBdr>
      <w:divsChild>
        <w:div w:id="671376897">
          <w:marLeft w:val="1080"/>
          <w:marRight w:val="0"/>
          <w:marTop w:val="0"/>
          <w:marBottom w:val="240"/>
          <w:divBdr>
            <w:top w:val="none" w:sz="0" w:space="0" w:color="auto"/>
            <w:left w:val="none" w:sz="0" w:space="0" w:color="auto"/>
            <w:bottom w:val="none" w:sz="0" w:space="0" w:color="auto"/>
            <w:right w:val="none" w:sz="0" w:space="0" w:color="auto"/>
          </w:divBdr>
        </w:div>
        <w:div w:id="1248080297">
          <w:marLeft w:val="108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boyer@acf.hhs.gov" TargetMode="External"/><Relationship Id="rId13" Type="http://schemas.openxmlformats.org/officeDocument/2006/relationships/hyperlink" Target="https://advance.lexis.com/document/?pdmfid=1000516&amp;crid=406a806a-d31e-4c08-af4f-7fecf2c78362&amp;pddocfullpath=%2Fshared%2Fdocument%2Fstatutes-legislation%2Furn%3AcontentItem%3A4YF7-GM41-NRF4-415V-00000-00&amp;pdtocnodeidentifier=ABQAAKAAEAAEAAG&amp;ecomp=s8tdkkk&amp;prid=bccbe879-b063-4927-9635-620c4ce12b91"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advance.lexis.com/document/?pdmfid=1000516&amp;crid=406a806a-d31e-4c08-af4f-7fecf2c78362&amp;pddocfullpath=%2Fshared%2Fdocument%2Fstatutes-legislation%2Furn%3AcontentItem%3A4YF7-GM41-NRF4-415V-00000-00&amp;pdtocnodeidentifier=ABQAAKAAEAAEAAG&amp;ecomp=s8tdkkk&amp;prid=bccbe879-b063-4927-9635-620c4ce12b9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dvance.lexis.com/document/?pdmfid=1000516&amp;crid=fcb93974-4bae-4e4e-bc72-d0ce37ea43d2&amp;pddocfullpath=%2Fshared%2Fdocument%2Fstatutes-legislation%2Furn%3AcontentItem%3A4YF7-GW11-NRF4-41JV-00000-00&amp;pdtocnodeidentifier=ABQAAKAAEAAEAAH&amp;ecomp=s8tdkkk&amp;prid=bccbe879-b063-4927-9635-620c4ce12b91"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vance.lexis.com/document/?pdmfid=1000516&amp;crid=406a806a-d31e-4c08-af4f-7fecf2c78362&amp;pddocfullpath=%2Fshared%2Fdocument%2Fstatutes-legislation%2Furn%3AcontentItem%3A4YF7-GM41-NRF4-415V-00000-00&amp;pdtocnodeidentifier=ABQAAKAAEAAEAAG&amp;ecomp=s8tdkkk&amp;prid=bccbe879-b063-4927-9635-620c4ce12b91" TargetMode="External"/><Relationship Id="rId5" Type="http://schemas.openxmlformats.org/officeDocument/2006/relationships/webSettings" Target="webSettings.xml"/><Relationship Id="rId15" Type="http://schemas.openxmlformats.org/officeDocument/2006/relationships/hyperlink" Target="https://advance.lexis.com/document/?pdmfid=1000516&amp;crid=fcb93974-4bae-4e4e-bc72-d0ce37ea43d2&amp;pddocfullpath=%2Fshared%2Fdocument%2Fstatutes-legislation%2Furn%3AcontentItem%3A4YF7-GW11-NRF4-41JV-00000-00&amp;pdtocnodeidentifier=ABQAAKAAEAAEAAH&amp;ecomp=s8tdkkk&amp;prid=bccbe879-b063-4927-9635-620c4ce12b91" TargetMode="External"/><Relationship Id="rId10" Type="http://schemas.openxmlformats.org/officeDocument/2006/relationships/hyperlink" Target="https://advance.lexis.com/document/?pdmfid=1000516&amp;crid=406a806a-d31e-4c08-af4f-7fecf2c78362&amp;pddocfullpath=%2Fshared%2Fdocument%2Fstatutes-legislation%2Furn%3AcontentItem%3A4YF7-GM41-NRF4-415V-00000-00&amp;pdtocnodeidentifier=ABQAAKAAEAAEAAG&amp;ecomp=s8tdkkk&amp;prid=bccbe879-b063-4927-9635-620c4ce12b9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nny.Markley@acf.hhs.gov" TargetMode="External"/><Relationship Id="rId14" Type="http://schemas.openxmlformats.org/officeDocument/2006/relationships/hyperlink" Target="https://advance.lexis.com/document/?pdmfid=1000516&amp;crid=fcb93974-4bae-4e4e-bc72-d0ce37ea43d2&amp;pddocfullpath=%2Fshared%2Fdocument%2Fstatutes-legislation%2Furn%3AcontentItem%3A4YF7-GW11-NRF4-41JV-00000-00&amp;pdtocnodeidentifier=ABQAAKAAEAAEAAH&amp;ecomp=s8tdkkk&amp;prid=bccbe879-b063-4927-9635-620c4ce12b91"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F690BC89FA96E41AC697492D82BAD4C" ma:contentTypeVersion="5" ma:contentTypeDescription="Create a new document." ma:contentTypeScope="" ma:versionID="b16bc8388ac57b1a1ccb6301292948e5">
  <xsd:schema xmlns:xsd="http://www.w3.org/2001/XMLSchema" xmlns:xs="http://www.w3.org/2001/XMLSchema" xmlns:p="http://schemas.microsoft.com/office/2006/metadata/properties" xmlns:ns2="f0a9f019-3c26-4a09-a485-d1ea868b9d5d" xmlns:ns3="be0a8c41-a8f7-4db0-9ccc-3acea744ee4d" targetNamespace="http://schemas.microsoft.com/office/2006/metadata/properties" ma:root="true" ma:fieldsID="0477d5fc70db1913ee6f571da732816a" ns2:_="" ns3:_="">
    <xsd:import namespace="f0a9f019-3c26-4a09-a485-d1ea868b9d5d"/>
    <xsd:import namespace="be0a8c41-a8f7-4db0-9ccc-3acea744ee4d"/>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9f019-3c26-4a09-a485-d1ea868b9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0a8c41-a8f7-4db0-9ccc-3acea744ee4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7BDED4-AA2F-4AE2-9B1E-5FFEF65692B0}">
  <ds:schemaRefs>
    <ds:schemaRef ds:uri="http://schemas.openxmlformats.org/officeDocument/2006/bibliography"/>
  </ds:schemaRefs>
</ds:datastoreItem>
</file>

<file path=customXml/itemProps2.xml><?xml version="1.0" encoding="utf-8"?>
<ds:datastoreItem xmlns:ds="http://schemas.openxmlformats.org/officeDocument/2006/customXml" ds:itemID="{09BBF03C-7CD0-44B5-A37F-EAE91AB38567}"/>
</file>

<file path=customXml/itemProps3.xml><?xml version="1.0" encoding="utf-8"?>
<ds:datastoreItem xmlns:ds="http://schemas.openxmlformats.org/officeDocument/2006/customXml" ds:itemID="{7B13D17E-8378-4E79-84E8-2EB90B54C692}"/>
</file>

<file path=customXml/itemProps4.xml><?xml version="1.0" encoding="utf-8"?>
<ds:datastoreItem xmlns:ds="http://schemas.openxmlformats.org/officeDocument/2006/customXml" ds:itemID="{FECA14E2-9428-4C3B-8A9C-B812031983A9}"/>
</file>

<file path=docProps/app.xml><?xml version="1.0" encoding="utf-8"?>
<Properties xmlns="http://schemas.openxmlformats.org/officeDocument/2006/extended-properties" xmlns:vt="http://schemas.openxmlformats.org/officeDocument/2006/docPropsVTypes">
  <Template>Normal.dotm</Template>
  <TotalTime>69</TotalTime>
  <Pages>5</Pages>
  <Words>2407</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Blunt, Rodney [OITS]</dc:creator>
  <cp:keywords/>
  <dc:description/>
  <cp:lastModifiedBy>Blunt, Rodney [OITS]</cp:lastModifiedBy>
  <cp:revision>7</cp:revision>
  <dcterms:created xsi:type="dcterms:W3CDTF">2018-01-26T19:17:00Z</dcterms:created>
  <dcterms:modified xsi:type="dcterms:W3CDTF">2018-09-21T16:59:00Z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0x0101007F690BC89FA96E41AC697492D82BAD4C</vt:lpwstr>
  </property>
</Properties>
</file>