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E5B70" w:rsidP="006679DE" w:rsidRDefault="00BE5B70" w14:paraId="513E35BD" w14:textId="528D6496">
      <w:pPr>
        <w:pBdr>
          <w:bottom w:val="single" w:color="4472C4" w:themeColor="accent1" w:sz="8" w:space="4"/>
        </w:pBdr>
        <w:spacing w:after="300"/>
        <w:contextualSpacing/>
        <w:jc w:val="right"/>
        <w:rPr>
          <w:rFonts w:asciiTheme="majorHAnsi" w:hAnsiTheme="majorHAnsi" w:eastAsiaTheme="majorEastAsia" w:cstheme="majorBidi"/>
          <w:color w:val="323E4F" w:themeColor="text2" w:themeShade="BF"/>
          <w:kern w:val="28"/>
          <w:sz w:val="48"/>
          <w:szCs w:val="52"/>
        </w:rPr>
      </w:pPr>
    </w:p>
    <w:p w:rsidR="00A4097E" w:rsidP="006679DE" w:rsidRDefault="00A4097E" w14:paraId="1558A197" w14:textId="043BE232">
      <w:pPr>
        <w:pBdr>
          <w:bottom w:val="single" w:color="4472C4" w:themeColor="accent1" w:sz="8" w:space="4"/>
        </w:pBdr>
        <w:spacing w:after="300"/>
        <w:contextualSpacing/>
        <w:jc w:val="right"/>
        <w:rPr>
          <w:rFonts w:asciiTheme="majorHAnsi" w:hAnsiTheme="majorHAnsi" w:eastAsiaTheme="majorEastAsia" w:cstheme="majorBidi"/>
          <w:color w:val="323E4F" w:themeColor="text2" w:themeShade="BF"/>
          <w:kern w:val="28"/>
          <w:sz w:val="48"/>
          <w:szCs w:val="52"/>
        </w:rPr>
      </w:pPr>
    </w:p>
    <w:p w:rsidR="00A4097E" w:rsidP="006679DE" w:rsidRDefault="00A4097E" w14:paraId="08613E75" w14:textId="77777777">
      <w:pPr>
        <w:pBdr>
          <w:bottom w:val="single" w:color="4472C4" w:themeColor="accent1" w:sz="8" w:space="4"/>
        </w:pBdr>
        <w:spacing w:after="300"/>
        <w:contextualSpacing/>
        <w:jc w:val="right"/>
        <w:rPr>
          <w:rFonts w:asciiTheme="majorHAnsi" w:hAnsiTheme="majorHAnsi" w:eastAsiaTheme="majorEastAsia" w:cstheme="majorBidi"/>
          <w:color w:val="323E4F" w:themeColor="text2" w:themeShade="BF"/>
          <w:kern w:val="28"/>
          <w:sz w:val="48"/>
          <w:szCs w:val="52"/>
        </w:rPr>
      </w:pPr>
    </w:p>
    <w:p w:rsidR="00BE5B70" w:rsidP="006679DE" w:rsidRDefault="00BE5B70" w14:paraId="2A6C6631" w14:textId="77777777">
      <w:pPr>
        <w:pBdr>
          <w:bottom w:val="single" w:color="4472C4" w:themeColor="accent1" w:sz="8" w:space="4"/>
        </w:pBdr>
        <w:spacing w:after="300"/>
        <w:contextualSpacing/>
        <w:jc w:val="right"/>
        <w:rPr>
          <w:rFonts w:asciiTheme="majorHAnsi" w:hAnsiTheme="majorHAnsi" w:eastAsiaTheme="majorEastAsia" w:cstheme="majorBidi"/>
          <w:color w:val="323E4F" w:themeColor="text2" w:themeShade="BF"/>
          <w:kern w:val="28"/>
          <w:sz w:val="48"/>
          <w:szCs w:val="52"/>
        </w:rPr>
      </w:pPr>
    </w:p>
    <w:p w:rsidR="006679DE" w:rsidP="006679DE" w:rsidRDefault="006679DE" w14:paraId="3B66C1FC" w14:textId="2532D6EF">
      <w:pPr>
        <w:pBdr>
          <w:bottom w:val="single" w:color="4472C4" w:themeColor="accent1" w:sz="8" w:space="4"/>
        </w:pBdr>
        <w:spacing w:after="300"/>
        <w:contextualSpacing/>
        <w:jc w:val="right"/>
        <w:rPr>
          <w:rFonts w:asciiTheme="majorHAnsi" w:hAnsiTheme="majorHAnsi" w:eastAsiaTheme="majorEastAsia" w:cstheme="majorBidi"/>
          <w:color w:val="323E4F" w:themeColor="text2" w:themeShade="BF"/>
          <w:kern w:val="28"/>
          <w:sz w:val="48"/>
          <w:szCs w:val="52"/>
        </w:rPr>
      </w:pPr>
      <w:r>
        <w:rPr>
          <w:rFonts w:asciiTheme="majorHAnsi" w:hAnsiTheme="majorHAnsi" w:eastAsiaTheme="majorEastAsia" w:cstheme="majorBidi"/>
          <w:color w:val="323E4F" w:themeColor="text2" w:themeShade="BF"/>
          <w:kern w:val="28"/>
          <w:sz w:val="48"/>
          <w:szCs w:val="52"/>
        </w:rPr>
        <w:t>Kansas Information Security Office</w:t>
      </w:r>
    </w:p>
    <w:p w:rsidR="006679DE" w:rsidP="004327A3" w:rsidRDefault="006679DE" w14:paraId="702CAE9F" w14:textId="4AC68F4E">
      <w:pPr>
        <w:pBdr>
          <w:bottom w:val="single" w:color="4472C4" w:themeColor="accent1" w:sz="8" w:space="4"/>
        </w:pBdr>
        <w:spacing w:after="300"/>
        <w:contextualSpacing/>
        <w:jc w:val="right"/>
        <w:rPr>
          <w:rFonts w:asciiTheme="majorHAnsi" w:hAnsiTheme="majorHAnsi" w:eastAsiaTheme="majorEastAsia" w:cstheme="majorBidi"/>
          <w:color w:val="323E4F" w:themeColor="text2" w:themeShade="BF"/>
          <w:kern w:val="28"/>
          <w:sz w:val="48"/>
          <w:szCs w:val="48"/>
        </w:rPr>
      </w:pPr>
      <w:r w:rsidRPr="4E6225CE">
        <w:rPr>
          <w:rFonts w:asciiTheme="majorHAnsi" w:hAnsiTheme="majorHAnsi" w:eastAsiaTheme="majorEastAsia" w:cstheme="majorBidi"/>
          <w:color w:val="323E4F" w:themeColor="text2" w:themeShade="BF"/>
          <w:kern w:val="28"/>
          <w:sz w:val="48"/>
          <w:szCs w:val="48"/>
        </w:rPr>
        <w:t xml:space="preserve">Security </w:t>
      </w:r>
      <w:r w:rsidR="000E561E">
        <w:rPr>
          <w:rFonts w:asciiTheme="majorHAnsi" w:hAnsiTheme="majorHAnsi" w:eastAsiaTheme="majorEastAsia" w:cstheme="majorBidi"/>
          <w:color w:val="323E4F" w:themeColor="text2" w:themeShade="BF"/>
          <w:kern w:val="28"/>
          <w:sz w:val="48"/>
          <w:szCs w:val="48"/>
        </w:rPr>
        <w:t xml:space="preserve">Maturity </w:t>
      </w:r>
      <w:r w:rsidR="004327A3">
        <w:rPr>
          <w:rFonts w:asciiTheme="majorHAnsi" w:hAnsiTheme="majorHAnsi" w:eastAsiaTheme="majorEastAsia" w:cstheme="majorBidi"/>
          <w:color w:val="323E4F" w:themeColor="text2" w:themeShade="BF"/>
          <w:kern w:val="28"/>
          <w:sz w:val="48"/>
          <w:szCs w:val="48"/>
        </w:rPr>
        <w:t>Assessment</w:t>
      </w:r>
      <w:r w:rsidR="000E561E">
        <w:rPr>
          <w:rFonts w:asciiTheme="majorHAnsi" w:hAnsiTheme="majorHAnsi" w:eastAsiaTheme="majorEastAsia" w:cstheme="majorBidi"/>
          <w:color w:val="323E4F" w:themeColor="text2" w:themeShade="BF"/>
          <w:kern w:val="28"/>
          <w:sz w:val="48"/>
          <w:szCs w:val="48"/>
        </w:rPr>
        <w:t xml:space="preserve"> Procedures</w:t>
      </w:r>
    </w:p>
    <w:p w:rsidRPr="00A4097E" w:rsidR="008A6F4C" w:rsidP="5E66C2E3" w:rsidRDefault="00A4097E" w14:paraId="502002C6" w14:textId="1EB01456">
      <w:pPr>
        <w:pStyle w:val="Version"/>
        <w:jc w:val="right"/>
        <w:rPr>
          <w:i w:val="1"/>
          <w:iCs w:val="1"/>
          <w:color w:val="auto"/>
        </w:rPr>
      </w:pPr>
      <w:r w:rsidRPr="5E66C2E3" w:rsidR="00A4097E">
        <w:rPr>
          <w:i w:val="1"/>
          <w:iCs w:val="1"/>
          <w:color w:val="auto"/>
        </w:rPr>
        <w:t>An i</w:t>
      </w:r>
      <w:r w:rsidRPr="5E66C2E3" w:rsidR="00B83A0C">
        <w:rPr>
          <w:i w:val="1"/>
          <w:iCs w:val="1"/>
          <w:color w:val="auto"/>
        </w:rPr>
        <w:t>nstruction guide</w:t>
      </w:r>
      <w:r w:rsidRPr="5E66C2E3" w:rsidR="31C8F488">
        <w:rPr>
          <w:i w:val="1"/>
          <w:iCs w:val="1"/>
          <w:color w:val="auto"/>
        </w:rPr>
        <w:t xml:space="preserve"> </w:t>
      </w:r>
      <w:r w:rsidRPr="5E66C2E3" w:rsidR="00B83A0C">
        <w:rPr>
          <w:i w:val="1"/>
          <w:iCs w:val="1"/>
          <w:color w:val="auto"/>
        </w:rPr>
        <w:t xml:space="preserve">for </w:t>
      </w:r>
      <w:r w:rsidRPr="5E66C2E3" w:rsidR="00A73C00">
        <w:rPr>
          <w:i w:val="1"/>
          <w:iCs w:val="1"/>
          <w:color w:val="auto"/>
        </w:rPr>
        <w:t>assessing</w:t>
      </w:r>
      <w:r w:rsidRPr="5E66C2E3" w:rsidR="00B83A0C">
        <w:rPr>
          <w:i w:val="1"/>
          <w:iCs w:val="1"/>
          <w:color w:val="auto"/>
        </w:rPr>
        <w:t xml:space="preserve"> the maturity of</w:t>
      </w:r>
      <w:r w:rsidRPr="5E66C2E3" w:rsidR="00A73C00">
        <w:rPr>
          <w:i w:val="1"/>
          <w:iCs w:val="1"/>
          <w:color w:val="auto"/>
        </w:rPr>
        <w:t xml:space="preserve"> an agency’s information security program</w:t>
      </w:r>
      <w:r w:rsidRPr="5E66C2E3" w:rsidR="00B83A0C">
        <w:rPr>
          <w:i w:val="1"/>
          <w:iCs w:val="1"/>
          <w:color w:val="auto"/>
        </w:rPr>
        <w:t xml:space="preserve"> </w:t>
      </w:r>
    </w:p>
    <w:p w:rsidRPr="00506AA8" w:rsidR="006679DE" w:rsidP="006679DE" w:rsidRDefault="006679DE" w14:paraId="5C13122B" w14:textId="41618734">
      <w:pPr>
        <w:pStyle w:val="Version"/>
        <w:jc w:val="right"/>
        <w:rPr>
          <w:b w:val="0"/>
          <w:color w:val="auto"/>
        </w:rPr>
      </w:pPr>
    </w:p>
    <w:p w:rsidRPr="00506AA8" w:rsidR="006679DE" w:rsidP="006679DE" w:rsidRDefault="006679DE" w14:paraId="62ACD921" w14:textId="7DF39613">
      <w:pPr>
        <w:pStyle w:val="Version"/>
        <w:jc w:val="left"/>
        <w:rPr>
          <w:b w:val="0"/>
          <w:color w:val="auto"/>
        </w:rPr>
      </w:pPr>
    </w:p>
    <w:p w:rsidRPr="00506AA8" w:rsidR="006679DE" w:rsidP="006679DE" w:rsidRDefault="006679DE" w14:paraId="15A4892B" w14:textId="415863A1">
      <w:pPr>
        <w:pStyle w:val="Version"/>
        <w:jc w:val="left"/>
        <w:rPr>
          <w:b w:val="0"/>
          <w:color w:val="auto"/>
        </w:rPr>
      </w:pPr>
    </w:p>
    <w:p w:rsidRPr="00506AA8" w:rsidR="006679DE" w:rsidP="006679DE" w:rsidRDefault="006679DE" w14:paraId="642EF0D7" w14:textId="03A05889">
      <w:pPr>
        <w:pStyle w:val="Version"/>
        <w:jc w:val="left"/>
        <w:rPr>
          <w:b w:val="0"/>
          <w:color w:val="auto"/>
        </w:rPr>
      </w:pPr>
    </w:p>
    <w:p w:rsidRPr="00506AA8" w:rsidR="006679DE" w:rsidP="006679DE" w:rsidRDefault="00A4097E" w14:paraId="77DA471D" w14:textId="6E40F89F">
      <w:pPr>
        <w:pStyle w:val="Version"/>
        <w:jc w:val="left"/>
        <w:rPr>
          <w:b w:val="0"/>
          <w:color w:val="auto"/>
        </w:rPr>
      </w:pPr>
      <w:r w:rsidRPr="003906CE">
        <w:rPr>
          <w:i/>
          <w:noProof/>
        </w:rPr>
        <w:drawing>
          <wp:anchor distT="0" distB="0" distL="114300" distR="114300" simplePos="0" relativeHeight="251659264" behindDoc="0" locked="0" layoutInCell="1" allowOverlap="1" wp14:anchorId="0A002BFB" wp14:editId="19D10C8B">
            <wp:simplePos x="0" y="0"/>
            <wp:positionH relativeFrom="margin">
              <wp:posOffset>3972541</wp:posOffset>
            </wp:positionH>
            <wp:positionV relativeFrom="paragraph">
              <wp:posOffset>78191</wp:posOffset>
            </wp:positionV>
            <wp:extent cx="2131695" cy="2131695"/>
            <wp:effectExtent l="0" t="0" r="1905" b="1905"/>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131695" cy="2131695"/>
                    </a:xfrm>
                    <a:prstGeom prst="rect">
                      <a:avLst/>
                    </a:prstGeom>
                  </pic:spPr>
                </pic:pic>
              </a:graphicData>
            </a:graphic>
            <wp14:sizeRelH relativeFrom="page">
              <wp14:pctWidth>0</wp14:pctWidth>
            </wp14:sizeRelH>
            <wp14:sizeRelV relativeFrom="page">
              <wp14:pctHeight>0</wp14:pctHeight>
            </wp14:sizeRelV>
          </wp:anchor>
        </w:drawing>
      </w:r>
    </w:p>
    <w:p w:rsidRPr="00506AA8" w:rsidR="006679DE" w:rsidP="006679DE" w:rsidRDefault="006679DE" w14:paraId="0BE709AA" w14:textId="5BD3FA94">
      <w:pPr>
        <w:pStyle w:val="Version"/>
        <w:jc w:val="left"/>
        <w:rPr>
          <w:b w:val="0"/>
          <w:color w:val="auto"/>
        </w:rPr>
      </w:pPr>
    </w:p>
    <w:p w:rsidR="006679DE" w:rsidP="006679DE" w:rsidRDefault="006679DE" w14:paraId="396A886A" w14:textId="37BE031F">
      <w:pPr>
        <w:spacing w:after="0" w:line="240" w:lineRule="auto"/>
        <w:rPr>
          <w:rFonts w:eastAsiaTheme="minorEastAsia"/>
          <w:noProof/>
        </w:rPr>
      </w:pPr>
    </w:p>
    <w:p w:rsidR="006679DE" w:rsidP="006679DE" w:rsidRDefault="006679DE" w14:paraId="47001330" w14:textId="277FD7CB">
      <w:pPr>
        <w:spacing w:after="0" w:line="240" w:lineRule="auto"/>
        <w:rPr>
          <w:rFonts w:eastAsiaTheme="minorEastAsia"/>
          <w:noProof/>
        </w:rPr>
      </w:pPr>
    </w:p>
    <w:p w:rsidR="006679DE" w:rsidP="006679DE" w:rsidRDefault="006679DE" w14:paraId="68ECF99E" w14:textId="461F4409">
      <w:pPr>
        <w:spacing w:after="0" w:line="240" w:lineRule="auto"/>
        <w:rPr>
          <w:rFonts w:eastAsiaTheme="minorEastAsia"/>
          <w:noProof/>
        </w:rPr>
      </w:pPr>
    </w:p>
    <w:p w:rsidR="006679DE" w:rsidP="006679DE" w:rsidRDefault="006679DE" w14:paraId="663112CA" w14:textId="4ED946E7">
      <w:pPr>
        <w:spacing w:after="0" w:line="240" w:lineRule="auto"/>
        <w:rPr>
          <w:rFonts w:eastAsiaTheme="minorEastAsia"/>
          <w:noProof/>
        </w:rPr>
      </w:pPr>
    </w:p>
    <w:p w:rsidR="006679DE" w:rsidP="006679DE" w:rsidRDefault="006679DE" w14:paraId="03AABAE9" w14:textId="0A2CF858">
      <w:pPr>
        <w:spacing w:after="0" w:line="240" w:lineRule="auto"/>
        <w:rPr>
          <w:rFonts w:eastAsiaTheme="minorEastAsia"/>
          <w:noProof/>
        </w:rPr>
      </w:pPr>
    </w:p>
    <w:p w:rsidR="006679DE" w:rsidP="006679DE" w:rsidRDefault="006679DE" w14:paraId="47D122DC" w14:textId="456B2FE3">
      <w:pPr>
        <w:spacing w:after="0" w:line="240" w:lineRule="auto"/>
        <w:rPr>
          <w:rFonts w:eastAsiaTheme="minorEastAsia"/>
          <w:noProof/>
        </w:rPr>
      </w:pPr>
    </w:p>
    <w:p w:rsidR="006679DE" w:rsidP="006679DE" w:rsidRDefault="006679DE" w14:paraId="3D331DD3" w14:textId="3E77EF8B">
      <w:pPr>
        <w:spacing w:after="0" w:line="240" w:lineRule="auto"/>
        <w:rPr>
          <w:rFonts w:eastAsiaTheme="minorEastAsia"/>
          <w:noProof/>
        </w:rPr>
      </w:pPr>
    </w:p>
    <w:p w:rsidR="006679DE" w:rsidP="006679DE" w:rsidRDefault="006679DE" w14:paraId="6D0C0190" w14:textId="77777777">
      <w:pPr>
        <w:spacing w:after="0" w:line="240" w:lineRule="auto"/>
        <w:rPr>
          <w:rFonts w:eastAsiaTheme="minorEastAsia"/>
          <w:noProof/>
        </w:rPr>
      </w:pPr>
    </w:p>
    <w:p w:rsidR="006679DE" w:rsidP="006679DE" w:rsidRDefault="006679DE" w14:paraId="00A4F052" w14:textId="77777777">
      <w:pPr>
        <w:spacing w:after="0" w:line="240" w:lineRule="auto"/>
        <w:rPr>
          <w:rFonts w:eastAsiaTheme="minorEastAsia"/>
          <w:noProof/>
        </w:rPr>
      </w:pPr>
    </w:p>
    <w:p w:rsidR="006679DE" w:rsidP="006679DE" w:rsidRDefault="006679DE" w14:paraId="52A428C5" w14:textId="77777777">
      <w:pPr>
        <w:spacing w:after="0" w:line="240" w:lineRule="auto"/>
        <w:rPr>
          <w:rFonts w:eastAsiaTheme="minorEastAsia"/>
          <w:noProof/>
        </w:rPr>
      </w:pPr>
    </w:p>
    <w:p w:rsidR="006679DE" w:rsidP="006679DE" w:rsidRDefault="006679DE" w14:paraId="7EBCE322" w14:textId="77777777">
      <w:pPr>
        <w:spacing w:after="0" w:line="240" w:lineRule="auto"/>
        <w:rPr>
          <w:rFonts w:eastAsiaTheme="minorEastAsia"/>
          <w:noProof/>
        </w:rPr>
      </w:pPr>
    </w:p>
    <w:p w:rsidR="008A6F4C" w:rsidP="008A6F4C" w:rsidRDefault="008A6F4C" w14:paraId="48BECB4C" w14:textId="77777777">
      <w:pPr>
        <w:pStyle w:val="Version"/>
        <w:jc w:val="right"/>
        <w:rPr>
          <w:i/>
          <w:iCs/>
        </w:rPr>
      </w:pPr>
    </w:p>
    <w:p w:rsidR="008A6F4C" w:rsidP="008A6F4C" w:rsidRDefault="008A6F4C" w14:paraId="79B24470" w14:textId="77777777">
      <w:pPr>
        <w:pStyle w:val="Version"/>
        <w:jc w:val="right"/>
        <w:rPr>
          <w:i/>
          <w:iCs/>
        </w:rPr>
      </w:pPr>
    </w:p>
    <w:p w:rsidR="008A6F4C" w:rsidP="008A6F4C" w:rsidRDefault="008A6F4C" w14:paraId="468B609C" w14:textId="77777777">
      <w:pPr>
        <w:pStyle w:val="Version"/>
        <w:jc w:val="right"/>
        <w:rPr>
          <w:i/>
          <w:iCs/>
        </w:rPr>
      </w:pPr>
    </w:p>
    <w:p w:rsidR="008A6F4C" w:rsidP="008A6F4C" w:rsidRDefault="008A6F4C" w14:paraId="098514EE" w14:textId="46F88176">
      <w:pPr>
        <w:pStyle w:val="Version"/>
        <w:jc w:val="right"/>
        <w:rPr>
          <w:i/>
          <w:iCs/>
        </w:rPr>
      </w:pPr>
      <w:r>
        <w:rPr>
          <w:i/>
          <w:iCs/>
        </w:rPr>
        <w:t xml:space="preserve">Version 1. </w:t>
      </w:r>
    </w:p>
    <w:p w:rsidR="008A6F4C" w:rsidP="008A6F4C" w:rsidRDefault="008A6F4C" w14:paraId="5180A708" w14:textId="77777777">
      <w:pPr>
        <w:pStyle w:val="Version"/>
        <w:jc w:val="right"/>
        <w:rPr>
          <w:i/>
          <w:iCs/>
        </w:rPr>
      </w:pPr>
      <w:r>
        <w:rPr>
          <w:i/>
          <w:iCs/>
        </w:rPr>
        <w:t>6/30/2022</w:t>
      </w:r>
    </w:p>
    <w:p w:rsidR="00BE5B70" w:rsidRDefault="00BE5B70" w14:paraId="5694DEBC" w14:textId="77777777">
      <w:pPr>
        <w:rPr>
          <w:rFonts w:asciiTheme="majorHAnsi" w:hAnsiTheme="majorHAnsi" w:eastAsiaTheme="majorEastAsia" w:cstheme="majorBidi"/>
          <w:color w:val="2F5496" w:themeColor="accent1" w:themeShade="BF"/>
          <w:sz w:val="32"/>
          <w:szCs w:val="32"/>
        </w:rPr>
        <w:sectPr w:rsidR="00BE5B70" w:rsidSect="00AE1610">
          <w:pgSz w:w="12240" w:h="15840" w:orient="portrait" w:code="1"/>
          <w:pgMar w:top="1440" w:right="1440" w:bottom="1440" w:left="1440" w:header="720" w:footer="720" w:gutter="0"/>
          <w:cols w:space="720"/>
          <w:docGrid w:linePitch="360"/>
        </w:sectPr>
      </w:pPr>
    </w:p>
    <w:p w:rsidR="00C87B6A" w:rsidP="00C87B6A" w:rsidRDefault="00C87B6A" w14:paraId="0C433434" w14:textId="37354DB5">
      <w:pPr>
        <w:pStyle w:val="Heading1"/>
        <w:jc w:val="center"/>
      </w:pPr>
      <w:r>
        <w:lastRenderedPageBreak/>
        <w:t>Introduction</w:t>
      </w:r>
    </w:p>
    <w:p w:rsidR="00A230A6" w:rsidP="00C87B6A" w:rsidRDefault="00A230A6" w14:paraId="083FECD2" w14:textId="04D3340F">
      <w:pPr>
        <w:pStyle w:val="Heading2"/>
      </w:pPr>
      <w:r>
        <w:t>Overview</w:t>
      </w:r>
    </w:p>
    <w:p w:rsidR="00AE24E4" w:rsidP="009C7491" w:rsidRDefault="00291C81" w14:paraId="382A78EA" w14:textId="5902A388">
      <w:pPr>
        <w:spacing w:line="276" w:lineRule="auto"/>
      </w:pPr>
      <w:r>
        <w:t xml:space="preserve">The Kansas Cybersecurity Act </w:t>
      </w:r>
      <w:r w:rsidR="0079143E">
        <w:t xml:space="preserve">applies to all </w:t>
      </w:r>
      <w:r w:rsidR="00E41E18">
        <w:t xml:space="preserve">Executive Branch agencies and </w:t>
      </w:r>
      <w:r>
        <w:t xml:space="preserve">requires </w:t>
      </w:r>
      <w:r w:rsidR="00E41E18">
        <w:t>them</w:t>
      </w:r>
      <w:r w:rsidR="009A23D5">
        <w:t xml:space="preserve"> to</w:t>
      </w:r>
      <w:r w:rsidR="00AE24E4">
        <w:t>:</w:t>
      </w:r>
    </w:p>
    <w:p w:rsidRPr="00B30B43" w:rsidR="00B30B43" w:rsidP="009C7491" w:rsidRDefault="00B30B43" w14:paraId="378FF5BB" w14:textId="43936E54">
      <w:pPr>
        <w:pStyle w:val="ListParagraph"/>
        <w:numPr>
          <w:ilvl w:val="0"/>
          <w:numId w:val="6"/>
        </w:numPr>
        <w:spacing w:line="276" w:lineRule="auto"/>
      </w:pPr>
      <w:r>
        <w:rPr>
          <w:color w:val="000000"/>
          <w:sz w:val="23"/>
          <w:szCs w:val="23"/>
        </w:rPr>
        <w:t>Ensure that an agency-wide information security program is in place;</w:t>
      </w:r>
    </w:p>
    <w:p w:rsidRPr="00AE24E4" w:rsidR="00A4321F" w:rsidP="009C7491" w:rsidRDefault="00B30B43" w14:paraId="1ED0BF07" w14:textId="3F67FDBE">
      <w:pPr>
        <w:pStyle w:val="ListParagraph"/>
        <w:numPr>
          <w:ilvl w:val="0"/>
          <w:numId w:val="6"/>
        </w:numPr>
        <w:spacing w:line="276" w:lineRule="auto"/>
      </w:pPr>
      <w:r>
        <w:rPr>
          <w:color w:val="000000"/>
          <w:sz w:val="23"/>
          <w:szCs w:val="23"/>
        </w:rPr>
        <w:t>I</w:t>
      </w:r>
      <w:r w:rsidRPr="00AE24E4" w:rsidR="00AE24E4">
        <w:rPr>
          <w:color w:val="000000"/>
          <w:sz w:val="23"/>
          <w:szCs w:val="23"/>
        </w:rPr>
        <w:t>mplement policies and standards to ensure that all the agency's data and information technology resources are maintained in compliance with applicable state and federal laws and rules and regulations;</w:t>
      </w:r>
      <w:r w:rsidR="00AD20DC">
        <w:rPr>
          <w:color w:val="000000"/>
          <w:sz w:val="23"/>
          <w:szCs w:val="23"/>
        </w:rPr>
        <w:t xml:space="preserve"> and</w:t>
      </w:r>
    </w:p>
    <w:p w:rsidR="00AE24E4" w:rsidP="009C7491" w:rsidRDefault="00B30B43" w14:paraId="07C77F37" w14:textId="3161524E">
      <w:pPr>
        <w:pStyle w:val="ListParagraph"/>
        <w:numPr>
          <w:ilvl w:val="0"/>
          <w:numId w:val="6"/>
        </w:numPr>
        <w:spacing w:line="276" w:lineRule="auto"/>
      </w:pPr>
      <w:r>
        <w:t>I</w:t>
      </w:r>
      <w:r w:rsidRPr="00B30B43">
        <w:t>mplement appropriate cost-effective safeguards to reduce, eliminate or recover from identified threats to data and information technology resources</w:t>
      </w:r>
      <w:r w:rsidR="00AD20DC">
        <w:t>.</w:t>
      </w:r>
    </w:p>
    <w:p w:rsidR="00B40666" w:rsidP="00AC1A57" w:rsidRDefault="00AD20DC" w14:paraId="1F12DAAB" w14:textId="262BDA42">
      <w:pPr>
        <w:spacing w:line="276" w:lineRule="auto"/>
      </w:pPr>
      <w:r>
        <w:t>Th</w:t>
      </w:r>
      <w:r w:rsidR="001860C9">
        <w:t xml:space="preserve">e </w:t>
      </w:r>
      <w:r w:rsidR="00A20933">
        <w:t xml:space="preserve">objective </w:t>
      </w:r>
      <w:r w:rsidR="001860C9">
        <w:t xml:space="preserve">of this </w:t>
      </w:r>
      <w:r w:rsidR="000B0F45">
        <w:t>assessment</w:t>
      </w:r>
      <w:r w:rsidR="001860C9">
        <w:t xml:space="preserve"> is multifaceted: </w:t>
      </w:r>
    </w:p>
    <w:p w:rsidR="00AB003E" w:rsidP="00B40666" w:rsidRDefault="00AC1A57" w14:paraId="3A227F69" w14:textId="77777777">
      <w:pPr>
        <w:pStyle w:val="ListParagraph"/>
        <w:numPr>
          <w:ilvl w:val="0"/>
          <w:numId w:val="7"/>
        </w:numPr>
        <w:spacing w:line="276" w:lineRule="auto"/>
      </w:pPr>
      <w:r>
        <w:t xml:space="preserve">Document the agency’s controls using a </w:t>
      </w:r>
      <w:r w:rsidR="00276043">
        <w:t>common framework</w:t>
      </w:r>
      <w:r w:rsidR="00AB003E">
        <w:t>.</w:t>
      </w:r>
    </w:p>
    <w:p w:rsidR="00B40666" w:rsidP="00B40666" w:rsidRDefault="00AB003E" w14:paraId="54523B98" w14:textId="4B23CFE8">
      <w:pPr>
        <w:pStyle w:val="ListParagraph"/>
        <w:numPr>
          <w:ilvl w:val="0"/>
          <w:numId w:val="7"/>
        </w:numPr>
        <w:spacing w:line="276" w:lineRule="auto"/>
      </w:pPr>
      <w:r>
        <w:t>I</w:t>
      </w:r>
      <w:r w:rsidR="00276043">
        <w:t xml:space="preserve">dentify, document, and assess </w:t>
      </w:r>
      <w:r w:rsidR="00010AC6">
        <w:t xml:space="preserve">the maturity of </w:t>
      </w:r>
      <w:r>
        <w:t xml:space="preserve">the </w:t>
      </w:r>
      <w:r w:rsidR="00276043">
        <w:t xml:space="preserve">agency’s </w:t>
      </w:r>
      <w:r w:rsidR="00010AC6">
        <w:t xml:space="preserve">information security </w:t>
      </w:r>
      <w:r w:rsidR="001905BD">
        <w:t>program and controls</w:t>
      </w:r>
      <w:r w:rsidR="00EC1A69">
        <w:t>.</w:t>
      </w:r>
    </w:p>
    <w:p w:rsidR="00276043" w:rsidP="009C7491" w:rsidRDefault="00276043" w14:paraId="57AB2091" w14:textId="77777777">
      <w:pPr>
        <w:pStyle w:val="ListParagraph"/>
        <w:numPr>
          <w:ilvl w:val="0"/>
          <w:numId w:val="7"/>
        </w:numPr>
        <w:spacing w:line="276" w:lineRule="auto"/>
      </w:pPr>
      <w:r>
        <w:t xml:space="preserve">Develop a roadmap for all Executive Branch agencies to ITEC policies and KISO ISO supported cabinet agencies to NIST moderate and non-cabinet agencies to NIST low. </w:t>
      </w:r>
    </w:p>
    <w:p w:rsidR="00276043" w:rsidP="009C7491" w:rsidRDefault="00276043" w14:paraId="5B0D3BA2" w14:textId="77777777">
      <w:pPr>
        <w:pStyle w:val="ListParagraph"/>
        <w:numPr>
          <w:ilvl w:val="0"/>
          <w:numId w:val="7"/>
        </w:numPr>
        <w:spacing w:line="276" w:lineRule="auto"/>
      </w:pPr>
      <w:r>
        <w:t xml:space="preserve">Provide leadership with a rollup of their information security program and where the ISO recommends, they allocate resources (people or dollars). </w:t>
      </w:r>
    </w:p>
    <w:p w:rsidR="00276043" w:rsidP="009C7491" w:rsidRDefault="00276043" w14:paraId="25B59157" w14:textId="77777777">
      <w:pPr>
        <w:pStyle w:val="ListParagraph"/>
        <w:numPr>
          <w:ilvl w:val="0"/>
          <w:numId w:val="7"/>
        </w:numPr>
        <w:spacing w:line="276" w:lineRule="auto"/>
      </w:pPr>
      <w:r>
        <w:t xml:space="preserve">Provide CISO &amp; Deputy CISO with a benchmark to report the state of the state’s information security maturity to the IT Security Council. </w:t>
      </w:r>
    </w:p>
    <w:p w:rsidR="00EC1A69" w:rsidP="00C87B6A" w:rsidRDefault="003E1734" w14:paraId="7942EF31" w14:textId="4B36F7E8">
      <w:pPr>
        <w:pStyle w:val="Heading2"/>
      </w:pPr>
      <w:r>
        <w:t>Intent</w:t>
      </w:r>
    </w:p>
    <w:p w:rsidR="00502298" w:rsidP="009C7491" w:rsidRDefault="00E56017" w14:paraId="65813494" w14:textId="406AB7E2">
      <w:pPr>
        <w:spacing w:line="276" w:lineRule="auto"/>
      </w:pPr>
      <w:r w:rsidRPr="00087ED7">
        <w:t xml:space="preserve">The </w:t>
      </w:r>
      <w:r w:rsidR="00446847">
        <w:t xml:space="preserve">intent of this </w:t>
      </w:r>
      <w:r w:rsidRPr="00087ED7">
        <w:t xml:space="preserve">assessment </w:t>
      </w:r>
      <w:r w:rsidR="00446847">
        <w:t xml:space="preserve">is to </w:t>
      </w:r>
      <w:r w:rsidR="009F70CE">
        <w:t>measure the maturity of an agency’s information security program by gi</w:t>
      </w:r>
      <w:r w:rsidRPr="00087ED7" w:rsidR="00773E7D">
        <w:t>v</w:t>
      </w:r>
      <w:r w:rsidR="009F70CE">
        <w:t>ing</w:t>
      </w:r>
      <w:r w:rsidRPr="00087ED7" w:rsidR="00773E7D">
        <w:t xml:space="preserve"> the</w:t>
      </w:r>
      <w:r w:rsidR="00DB7B84">
        <w:t xml:space="preserve"> Information Security Officers</w:t>
      </w:r>
      <w:r w:rsidRPr="00087ED7" w:rsidR="00773E7D">
        <w:t xml:space="preserve"> </w:t>
      </w:r>
      <w:r w:rsidR="00DB7B84">
        <w:t>(</w:t>
      </w:r>
      <w:r w:rsidRPr="00087ED7" w:rsidR="00773E7D">
        <w:t>ISO</w:t>
      </w:r>
      <w:r w:rsidR="00DB7B84">
        <w:t>)</w:t>
      </w:r>
      <w:r w:rsidRPr="00087ED7" w:rsidR="00E95AB1">
        <w:t xml:space="preserve"> and agency leadership </w:t>
      </w:r>
      <w:r w:rsidRPr="00087ED7" w:rsidR="00303E42">
        <w:t>a high-level overview of the</w:t>
      </w:r>
      <w:r w:rsidRPr="00087ED7">
        <w:t xml:space="preserve"> scope,</w:t>
      </w:r>
      <w:r w:rsidRPr="00E56017">
        <w:t xml:space="preserve"> </w:t>
      </w:r>
      <w:r w:rsidRPr="00E56017" w:rsidR="00502298">
        <w:t>execution,</w:t>
      </w:r>
      <w:r w:rsidRPr="00E56017">
        <w:t xml:space="preserve"> and strategy components of </w:t>
      </w:r>
      <w:r w:rsidR="00303E42">
        <w:t>the agency’s</w:t>
      </w:r>
      <w:r w:rsidRPr="00E56017">
        <w:t xml:space="preserve"> </w:t>
      </w:r>
      <w:r w:rsidR="00446847">
        <w:t xml:space="preserve">security program and </w:t>
      </w:r>
      <w:r w:rsidRPr="00E56017">
        <w:t>compliance</w:t>
      </w:r>
      <w:r w:rsidR="00822BD8">
        <w:t xml:space="preserve"> audit readiness</w:t>
      </w:r>
      <w:r w:rsidRPr="00E56017">
        <w:t>.  This</w:t>
      </w:r>
      <w:r w:rsidR="00822BD8">
        <w:t xml:space="preserve"> is not a single </w:t>
      </w:r>
      <w:r w:rsidR="0069784D">
        <w:t xml:space="preserve">instance </w:t>
      </w:r>
      <w:r w:rsidR="009F70CE">
        <w:t>assessment;</w:t>
      </w:r>
      <w:r w:rsidR="0069784D">
        <w:t xml:space="preserve"> it</w:t>
      </w:r>
      <w:r w:rsidRPr="00E56017">
        <w:t xml:space="preserve"> is a reference that will be continual</w:t>
      </w:r>
      <w:r w:rsidR="00F14FD9">
        <w:t>ly</w:t>
      </w:r>
      <w:r w:rsidRPr="00E56017">
        <w:t xml:space="preserve"> updated to track status and drive change.  </w:t>
      </w:r>
    </w:p>
    <w:p w:rsidR="00A4097E" w:rsidP="00557581" w:rsidRDefault="00DB7B84" w14:paraId="385B89BA" w14:textId="30AB4D68">
      <w:pPr>
        <w:spacing w:line="276" w:lineRule="auto"/>
        <w:sectPr w:rsidR="00A4097E" w:rsidSect="00AE1610">
          <w:pgSz w:w="12240" w:h="15840" w:orient="portrait" w:code="1"/>
          <w:pgMar w:top="1440" w:right="1440" w:bottom="1440" w:left="1440" w:header="720" w:footer="720" w:gutter="0"/>
          <w:cols w:space="720"/>
          <w:docGrid w:linePitch="360"/>
        </w:sectPr>
      </w:pPr>
      <w:r>
        <w:t>T</w:t>
      </w:r>
      <w:r w:rsidR="00584730">
        <w:t>his</w:t>
      </w:r>
      <w:r>
        <w:t xml:space="preserve"> role of this</w:t>
      </w:r>
      <w:r w:rsidR="00584730">
        <w:t xml:space="preserve"> guide is </w:t>
      </w:r>
      <w:r w:rsidR="002962C3">
        <w:t xml:space="preserve">to </w:t>
      </w:r>
      <w:r w:rsidR="00877B31">
        <w:t>assist</w:t>
      </w:r>
      <w:r w:rsidR="00373586">
        <w:t xml:space="preserve"> Information Security Officers </w:t>
      </w:r>
      <w:r w:rsidR="00E62352">
        <w:t xml:space="preserve">by giving them </w:t>
      </w:r>
      <w:r w:rsidR="00B7269B">
        <w:t xml:space="preserve">instructions </w:t>
      </w:r>
      <w:r w:rsidR="00E62352">
        <w:t>to</w:t>
      </w:r>
      <w:r w:rsidR="00B7269B">
        <w:t xml:space="preserve"> complet</w:t>
      </w:r>
      <w:r w:rsidR="00E62352">
        <w:t xml:space="preserve">e </w:t>
      </w:r>
      <w:r w:rsidR="00B7269B">
        <w:t>the assessment,</w:t>
      </w:r>
      <w:r w:rsidR="00E62352">
        <w:t xml:space="preserve"> develop and maintain the reports</w:t>
      </w:r>
      <w:r w:rsidR="00FF023C">
        <w:t xml:space="preserve"> </w:t>
      </w:r>
      <w:r w:rsidR="00936370">
        <w:t xml:space="preserve">determine areas </w:t>
      </w:r>
      <w:r w:rsidR="007F1DD5">
        <w:t>for security program improvement</w:t>
      </w:r>
      <w:r w:rsidR="00DF1F22">
        <w:t>,</w:t>
      </w:r>
      <w:r w:rsidR="009D7F82">
        <w:t xml:space="preserve"> </w:t>
      </w:r>
      <w:r w:rsidR="007F463A">
        <w:t xml:space="preserve">and mechanisms for </w:t>
      </w:r>
      <w:r w:rsidR="00BF1C1F">
        <w:t xml:space="preserve">keeping it up to date. </w:t>
      </w:r>
    </w:p>
    <w:p w:rsidR="00F120CE" w:rsidP="001535A2" w:rsidRDefault="000E5E17" w14:paraId="03A2058A" w14:textId="3C084785">
      <w:pPr>
        <w:pStyle w:val="Heading1"/>
        <w:jc w:val="center"/>
      </w:pPr>
      <w:r>
        <w:lastRenderedPageBreak/>
        <w:t>Instructions</w:t>
      </w:r>
    </w:p>
    <w:p w:rsidR="001535A2" w:rsidP="00567CFC" w:rsidRDefault="00F120CE" w14:paraId="091813EB" w14:textId="77777777">
      <w:r>
        <w:t>Before conducting the assessment, it is highly recommended the ISO responsible for conducting the maturity assessment utilize Microsoft Teams as</w:t>
      </w:r>
      <w:r w:rsidR="00CC306F">
        <w:t xml:space="preserve"> a</w:t>
      </w:r>
      <w:r>
        <w:t xml:space="preserve"> hub for information sharing</w:t>
      </w:r>
      <w:r w:rsidR="00567CFC">
        <w:t xml:space="preserve"> and</w:t>
      </w:r>
      <w:r w:rsidR="00CC306F">
        <w:t xml:space="preserve"> </w:t>
      </w:r>
      <w:r>
        <w:t>storing documents</w:t>
      </w:r>
      <w:r w:rsidR="008E3379">
        <w:t xml:space="preserve">, developing and tracking the project plan and milestones, and </w:t>
      </w:r>
      <w:r w:rsidR="001535A2">
        <w:t xml:space="preserve">management of reports to management. </w:t>
      </w:r>
    </w:p>
    <w:p w:rsidR="007B5363" w:rsidP="00567CFC" w:rsidRDefault="00CF1ED6" w14:paraId="780CEC86" w14:textId="030382D2">
      <w:r>
        <w:t>ISO’s</w:t>
      </w:r>
      <w:r w:rsidR="001535A2">
        <w:t xml:space="preserve"> who chose to use Teams for the assessment</w:t>
      </w:r>
      <w:r>
        <w:t xml:space="preserve"> have the discretion </w:t>
      </w:r>
      <w:r w:rsidR="00AB7406">
        <w:t xml:space="preserve">of </w:t>
      </w:r>
      <w:r w:rsidR="004436E8">
        <w:t>adding a new channel to a Teams</w:t>
      </w:r>
      <w:r w:rsidR="00F120CE">
        <w:t xml:space="preserve"> </w:t>
      </w:r>
      <w:r w:rsidR="00AB7406">
        <w:t>site</w:t>
      </w:r>
      <w:r w:rsidR="004436E8">
        <w:t xml:space="preserve"> the agency is a</w:t>
      </w:r>
      <w:r w:rsidR="00AB7406">
        <w:t xml:space="preserve">lready </w:t>
      </w:r>
      <w:r w:rsidR="004436E8">
        <w:t>using</w:t>
      </w:r>
      <w:r w:rsidR="00AB7406">
        <w:t xml:space="preserve"> or requesting a new site. </w:t>
      </w:r>
      <w:r w:rsidR="00BA5CC9">
        <w:t xml:space="preserve"> </w:t>
      </w:r>
      <w:r w:rsidR="00456F63">
        <w:t>To subm</w:t>
      </w:r>
      <w:r w:rsidR="009C45AB">
        <w:t xml:space="preserve">it a </w:t>
      </w:r>
      <w:r w:rsidR="00456F63">
        <w:t xml:space="preserve">request a request for a </w:t>
      </w:r>
      <w:r w:rsidR="009C45AB">
        <w:t>Teams site</w:t>
      </w:r>
      <w:r w:rsidR="00456F63">
        <w:t xml:space="preserve">, </w:t>
      </w:r>
      <w:r w:rsidR="00652227">
        <w:t>fill in the request with the fol</w:t>
      </w:r>
      <w:r w:rsidR="003201D3">
        <w:t>lowing information</w:t>
      </w:r>
      <w:r w:rsidR="00652227">
        <w:t xml:space="preserve"> (Image #1)</w:t>
      </w:r>
      <w:r w:rsidR="003201D3">
        <w:t xml:space="preserve">.  </w:t>
      </w:r>
    </w:p>
    <w:p w:rsidR="003201D3" w:rsidP="00652227" w:rsidRDefault="003201D3" w14:paraId="3A7E0053" w14:textId="4D1AA128">
      <w:pPr>
        <w:spacing w:after="0" w:line="240" w:lineRule="auto"/>
        <w:ind w:left="360"/>
        <w:contextualSpacing/>
        <w:jc w:val="center"/>
      </w:pPr>
      <w:r>
        <w:rPr>
          <w:noProof/>
        </w:rPr>
        <w:drawing>
          <wp:inline distT="0" distB="0" distL="0" distR="0" wp14:anchorId="5E88BCD0" wp14:editId="3EC06DA7">
            <wp:extent cx="2392725" cy="1473958"/>
            <wp:effectExtent l="0" t="0" r="762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0"/>
                    <a:stretch>
                      <a:fillRect/>
                    </a:stretch>
                  </pic:blipFill>
                  <pic:spPr>
                    <a:xfrm>
                      <a:off x="0" y="0"/>
                      <a:ext cx="2402438" cy="1479941"/>
                    </a:xfrm>
                    <a:prstGeom prst="rect">
                      <a:avLst/>
                    </a:prstGeom>
                  </pic:spPr>
                </pic:pic>
              </a:graphicData>
            </a:graphic>
          </wp:inline>
        </w:drawing>
      </w:r>
    </w:p>
    <w:p w:rsidRPr="00652227" w:rsidR="00652227" w:rsidP="00652227" w:rsidRDefault="00652227" w14:paraId="11A55081" w14:textId="32D53706">
      <w:pPr>
        <w:spacing w:after="0" w:line="240" w:lineRule="auto"/>
        <w:ind w:left="360"/>
        <w:contextualSpacing/>
        <w:jc w:val="center"/>
        <w:rPr>
          <w:i/>
          <w:iCs/>
          <w:vertAlign w:val="subscript"/>
        </w:rPr>
      </w:pPr>
      <w:r w:rsidRPr="00652227">
        <w:rPr>
          <w:i/>
          <w:iCs/>
          <w:vertAlign w:val="subscript"/>
        </w:rPr>
        <w:t>(Image #1)</w:t>
      </w:r>
    </w:p>
    <w:p w:rsidRPr="00493F3E" w:rsidR="00493F3E" w:rsidP="00493F3E" w:rsidRDefault="00493F3E" w14:paraId="3EAAD949" w14:textId="2DDA8680">
      <w:pPr>
        <w:pStyle w:val="Heading2"/>
        <w:spacing w:before="0" w:after="160" w:line="276" w:lineRule="auto"/>
      </w:pPr>
      <w:r>
        <w:t>Teams</w:t>
      </w:r>
    </w:p>
    <w:p w:rsidR="00EE795F" w:rsidP="004436E8" w:rsidRDefault="008A7DE6" w14:paraId="321616EE" w14:textId="77777777">
      <w:r>
        <w:t xml:space="preserve">The purpose of the Teams site is to centralize everything to this one spot.  This will ensure </w:t>
      </w:r>
      <w:r w:rsidR="00EE795F">
        <w:t xml:space="preserve">access is limited to appropriate personnel and so efforts are not managed through email.  </w:t>
      </w:r>
    </w:p>
    <w:p w:rsidRPr="00037C99" w:rsidR="006E1681" w:rsidP="00037C99" w:rsidRDefault="00037C99" w14:paraId="41AE9C7F" w14:textId="6F9C40A4">
      <w:pPr>
        <w:spacing w:after="0" w:line="240" w:lineRule="auto"/>
        <w:jc w:val="center"/>
        <w:rPr>
          <w:i/>
          <w:iCs/>
          <w:vertAlign w:val="subscript"/>
        </w:rPr>
      </w:pPr>
      <w:r w:rsidRPr="00037C99">
        <w:rPr>
          <w:i/>
          <w:iCs/>
          <w:vertAlign w:val="subscript"/>
        </w:rPr>
        <w:t>(Image #2)</w:t>
      </w:r>
    </w:p>
    <w:p w:rsidR="008111D6" w:rsidP="009C7491" w:rsidRDefault="007B6059" w14:paraId="5F482079" w14:textId="4C179C33">
      <w:pPr>
        <w:pStyle w:val="Heading2"/>
        <w:spacing w:before="0" w:after="160" w:line="276" w:lineRule="auto"/>
      </w:pPr>
      <w:r>
        <w:t xml:space="preserve">Information </w:t>
      </w:r>
      <w:r w:rsidR="00557581">
        <w:t xml:space="preserve">Type </w:t>
      </w:r>
      <w:r>
        <w:t>Identification</w:t>
      </w:r>
      <w:r w:rsidR="00704805">
        <w:t xml:space="preserve"> </w:t>
      </w:r>
      <w:r w:rsidR="002D7F55">
        <w:t>–</w:t>
      </w:r>
      <w:r w:rsidR="00704805">
        <w:t xml:space="preserve"> </w:t>
      </w:r>
      <w:r w:rsidR="002D7F55">
        <w:t>(Information Types Tab)</w:t>
      </w:r>
    </w:p>
    <w:p w:rsidRPr="007B6059" w:rsidR="007B6059" w:rsidP="007B6059" w:rsidRDefault="0079007E" w14:paraId="72175C72" w14:textId="199D91EB">
      <w:r>
        <w:t xml:space="preserve">To begin the assessment, the ISO </w:t>
      </w:r>
      <w:r w:rsidR="00987ED6">
        <w:t xml:space="preserve">needs to </w:t>
      </w:r>
      <w:r w:rsidR="00A02847">
        <w:t xml:space="preserve">obtain information </w:t>
      </w:r>
      <w:r w:rsidR="002850F4">
        <w:t>from</w:t>
      </w:r>
      <w:r w:rsidR="00A02847">
        <w:t xml:space="preserve"> the agency</w:t>
      </w:r>
      <w:r w:rsidR="002850F4">
        <w:t xml:space="preserve"> regarding the type of information the agency stores, processes, or handles. </w:t>
      </w:r>
    </w:p>
    <w:p w:rsidR="00A51A77" w:rsidP="009C7491" w:rsidRDefault="0067285C" w14:paraId="2F0C428B" w14:textId="453AEB53">
      <w:pPr>
        <w:pStyle w:val="ListParagraph"/>
        <w:numPr>
          <w:ilvl w:val="0"/>
          <w:numId w:val="9"/>
        </w:numPr>
        <w:spacing w:line="276" w:lineRule="auto"/>
      </w:pPr>
      <w:r>
        <w:t xml:space="preserve">Identify </w:t>
      </w:r>
      <w:r w:rsidR="004B76C2">
        <w:t xml:space="preserve">several of the </w:t>
      </w:r>
      <w:r w:rsidR="00985536">
        <w:t xml:space="preserve">types of </w:t>
      </w:r>
      <w:r>
        <w:t xml:space="preserve">information stored, processed, or handled by the agency </w:t>
      </w:r>
      <w:r w:rsidR="008B0650">
        <w:t>using the</w:t>
      </w:r>
      <w:r w:rsidR="00C14DDC">
        <w:t xml:space="preserve"> information types sourced from NIST SP 800-6</w:t>
      </w:r>
      <w:r w:rsidR="008D1508">
        <w:t>0v2r1</w:t>
      </w:r>
      <w:r w:rsidR="004B76C2">
        <w:t xml:space="preserve">. </w:t>
      </w:r>
      <w:r w:rsidR="00F1656C">
        <w:t>Using th</w:t>
      </w:r>
      <w:r w:rsidR="007351DB">
        <w:t xml:space="preserve">e NIST predefined models </w:t>
      </w:r>
      <w:r w:rsidR="00BB4B12">
        <w:t xml:space="preserve">allows for a consistent approach for rating </w:t>
      </w:r>
      <w:r w:rsidR="004904A3">
        <w:t>confidentiality, impact, and availability</w:t>
      </w:r>
      <w:r w:rsidR="00B13425">
        <w:t>.</w:t>
      </w:r>
    </w:p>
    <w:p w:rsidRPr="005A3846" w:rsidR="005A3846" w:rsidP="009C7491" w:rsidRDefault="003012E1" w14:paraId="181368AB" w14:textId="647260E4">
      <w:pPr>
        <w:pStyle w:val="ListParagraph"/>
        <w:numPr>
          <w:ilvl w:val="1"/>
          <w:numId w:val="9"/>
        </w:numPr>
        <w:spacing w:line="276" w:lineRule="auto"/>
      </w:pPr>
      <w:r>
        <w:rPr>
          <w:b/>
          <w:bCs/>
        </w:rPr>
        <w:t>Line of Business</w:t>
      </w:r>
      <w:r>
        <w:t xml:space="preserve"> </w:t>
      </w:r>
      <w:r w:rsidR="00F1656C">
        <w:t xml:space="preserve">- </w:t>
      </w:r>
      <w:r w:rsidRPr="00F1656C" w:rsidR="00F1656C">
        <w:t>or “areas of operation” describe the purpose of government in functional terms or describe the support functions that the government must conduct in order to effectively deliver services to citizens.</w:t>
      </w:r>
    </w:p>
    <w:p w:rsidR="009D4569" w:rsidP="009D4569" w:rsidRDefault="00CB1220" w14:paraId="3010B0CE" w14:textId="0BDD900B">
      <w:pPr>
        <w:pStyle w:val="ListParagraph"/>
        <w:numPr>
          <w:ilvl w:val="1"/>
          <w:numId w:val="9"/>
        </w:numPr>
        <w:spacing w:line="276" w:lineRule="auto"/>
      </w:pPr>
      <w:r w:rsidRPr="00236965">
        <w:rPr>
          <w:b/>
          <w:bCs/>
        </w:rPr>
        <w:t xml:space="preserve">Information </w:t>
      </w:r>
      <w:r w:rsidR="005A3846">
        <w:rPr>
          <w:b/>
          <w:bCs/>
        </w:rPr>
        <w:t>Type</w:t>
      </w:r>
      <w:r w:rsidR="00B13425">
        <w:rPr>
          <w:b/>
          <w:bCs/>
        </w:rPr>
        <w:t xml:space="preserve"> </w:t>
      </w:r>
      <w:r>
        <w:t xml:space="preserve">- </w:t>
      </w:r>
      <w:r w:rsidRPr="00236965" w:rsidR="00236965">
        <w:t>A specific category of information (e.g., privacy, medical, proprietary, financial, investigative, contractor sensitive, security management) defined by an organization or in some instances, by a specific law, Executive Order, directive, policy, or regulation. [FIPS 199]</w:t>
      </w:r>
      <w:r w:rsidR="009D4569">
        <w:t xml:space="preserve">. </w:t>
      </w:r>
      <w:r w:rsidR="00440605">
        <w:t xml:space="preserve">The intent is to ensure we capture the highest rating of information possible.  </w:t>
      </w:r>
      <w:r w:rsidR="00960E21">
        <w:t>For large agencies, t</w:t>
      </w:r>
      <w:r w:rsidR="009D4569">
        <w:t xml:space="preserve">ry to incorporate </w:t>
      </w:r>
      <w:r w:rsidR="003A38FC">
        <w:t xml:space="preserve">at least one information type from each department.  </w:t>
      </w:r>
    </w:p>
    <w:p w:rsidR="00FC0721" w:rsidP="009C7491" w:rsidRDefault="00B13425" w14:paraId="6C8B1DC3" w14:textId="55DB71CD">
      <w:pPr>
        <w:pStyle w:val="ListParagraph"/>
        <w:numPr>
          <w:ilvl w:val="1"/>
          <w:numId w:val="9"/>
        </w:numPr>
        <w:spacing w:line="276" w:lineRule="auto"/>
      </w:pPr>
      <w:r>
        <w:t xml:space="preserve">If the agency believes the rating is higher or lower than the predefined values, </w:t>
      </w:r>
      <w:r w:rsidR="009247BA">
        <w:t>select the cell directly below the r</w:t>
      </w:r>
      <w:r w:rsidR="007734E3">
        <w:t>ating and select one of the available options</w:t>
      </w:r>
      <w:r w:rsidR="00B52D9A">
        <w:t xml:space="preserve"> and provide a comment as to why the </w:t>
      </w:r>
      <w:r w:rsidR="009E36DD">
        <w:t xml:space="preserve">rating was increased or decreased. </w:t>
      </w:r>
      <w:r w:rsidR="007734E3">
        <w:t xml:space="preserve">  </w:t>
      </w:r>
    </w:p>
    <w:tbl>
      <w:tblPr>
        <w:tblW w:w="9810" w:type="dxa"/>
        <w:tblInd w:w="255" w:type="dxa"/>
        <w:tblLook w:val="04A0" w:firstRow="1" w:lastRow="0" w:firstColumn="1" w:lastColumn="0" w:noHBand="0" w:noVBand="1"/>
      </w:tblPr>
      <w:tblGrid>
        <w:gridCol w:w="1395"/>
        <w:gridCol w:w="2714"/>
        <w:gridCol w:w="1605"/>
        <w:gridCol w:w="1005"/>
        <w:gridCol w:w="1272"/>
        <w:gridCol w:w="1819"/>
      </w:tblGrid>
      <w:tr w:rsidRPr="007734E3" w:rsidR="001F0B5F" w:rsidTr="00A90C71" w14:paraId="5F070777" w14:textId="77777777">
        <w:trPr>
          <w:trHeight w:val="255"/>
        </w:trPr>
        <w:tc>
          <w:tcPr>
            <w:tcW w:w="1395" w:type="dxa"/>
            <w:tcBorders>
              <w:top w:val="single" w:color="auto" w:sz="12" w:space="0"/>
              <w:left w:val="single" w:color="auto" w:sz="12" w:space="0"/>
              <w:bottom w:val="single" w:color="auto" w:sz="12" w:space="0"/>
              <w:right w:val="single" w:color="auto" w:sz="12" w:space="0"/>
            </w:tcBorders>
            <w:shd w:val="clear" w:color="000000" w:fill="C0C0C0"/>
            <w:noWrap/>
            <w:vAlign w:val="bottom"/>
            <w:hideMark/>
          </w:tcPr>
          <w:p w:rsidRPr="007734E3" w:rsidR="001F0B5F" w:rsidP="009C7491" w:rsidRDefault="001F0B5F" w14:paraId="0B849ABA" w14:textId="77777777">
            <w:pPr>
              <w:spacing w:line="276" w:lineRule="auto"/>
              <w:jc w:val="center"/>
              <w:rPr>
                <w:rFonts w:ascii="Arial" w:hAnsi="Arial" w:eastAsia="Times New Roman" w:cs="Arial"/>
                <w:b/>
                <w:bCs/>
                <w:sz w:val="20"/>
                <w:szCs w:val="20"/>
              </w:rPr>
            </w:pPr>
            <w:r w:rsidRPr="007734E3">
              <w:rPr>
                <w:rFonts w:ascii="Arial" w:hAnsi="Arial" w:eastAsia="Times New Roman" w:cs="Arial"/>
                <w:b/>
                <w:bCs/>
                <w:sz w:val="20"/>
                <w:szCs w:val="20"/>
              </w:rPr>
              <w:t>Line of Business</w:t>
            </w:r>
          </w:p>
        </w:tc>
        <w:tc>
          <w:tcPr>
            <w:tcW w:w="2714" w:type="dxa"/>
            <w:tcBorders>
              <w:top w:val="single" w:color="auto" w:sz="12" w:space="0"/>
              <w:left w:val="single" w:color="auto" w:sz="12" w:space="0"/>
              <w:bottom w:val="single" w:color="auto" w:sz="12" w:space="0"/>
              <w:right w:val="single" w:color="auto" w:sz="12" w:space="0"/>
            </w:tcBorders>
            <w:shd w:val="clear" w:color="000000" w:fill="C0C0C0"/>
            <w:noWrap/>
            <w:vAlign w:val="bottom"/>
            <w:hideMark/>
          </w:tcPr>
          <w:p w:rsidRPr="007734E3" w:rsidR="001F0B5F" w:rsidP="009C7491" w:rsidRDefault="001F0B5F" w14:paraId="793097C6" w14:textId="77777777">
            <w:pPr>
              <w:spacing w:line="276" w:lineRule="auto"/>
              <w:jc w:val="center"/>
              <w:rPr>
                <w:rFonts w:ascii="Arial" w:hAnsi="Arial" w:eastAsia="Times New Roman" w:cs="Arial"/>
                <w:b/>
                <w:bCs/>
                <w:sz w:val="20"/>
                <w:szCs w:val="20"/>
              </w:rPr>
            </w:pPr>
            <w:r w:rsidRPr="007734E3">
              <w:rPr>
                <w:rFonts w:ascii="Arial" w:hAnsi="Arial" w:eastAsia="Times New Roman" w:cs="Arial"/>
                <w:b/>
                <w:bCs/>
                <w:sz w:val="20"/>
                <w:szCs w:val="20"/>
              </w:rPr>
              <w:t>Information Type</w:t>
            </w:r>
          </w:p>
        </w:tc>
        <w:tc>
          <w:tcPr>
            <w:tcW w:w="1605" w:type="dxa"/>
            <w:tcBorders>
              <w:top w:val="single" w:color="auto" w:sz="12" w:space="0"/>
              <w:left w:val="single" w:color="auto" w:sz="12" w:space="0"/>
              <w:bottom w:val="single" w:color="auto" w:sz="12" w:space="0"/>
              <w:right w:val="single" w:color="auto" w:sz="12" w:space="0"/>
            </w:tcBorders>
            <w:shd w:val="clear" w:color="000000" w:fill="C0C0C0"/>
            <w:noWrap/>
            <w:vAlign w:val="bottom"/>
            <w:hideMark/>
          </w:tcPr>
          <w:p w:rsidRPr="007734E3" w:rsidR="001F0B5F" w:rsidP="009C7491" w:rsidRDefault="001F0B5F" w14:paraId="583B8EB3" w14:textId="77777777">
            <w:pPr>
              <w:spacing w:line="276" w:lineRule="auto"/>
              <w:jc w:val="center"/>
              <w:rPr>
                <w:rFonts w:ascii="Arial" w:hAnsi="Arial" w:eastAsia="Times New Roman" w:cs="Arial"/>
                <w:b/>
                <w:bCs/>
                <w:sz w:val="20"/>
                <w:szCs w:val="20"/>
              </w:rPr>
            </w:pPr>
            <w:r w:rsidRPr="007734E3">
              <w:rPr>
                <w:rFonts w:ascii="Arial" w:hAnsi="Arial" w:eastAsia="Times New Roman" w:cs="Arial"/>
                <w:b/>
                <w:bCs/>
                <w:sz w:val="20"/>
                <w:szCs w:val="20"/>
              </w:rPr>
              <w:t>Confidentiality</w:t>
            </w:r>
          </w:p>
        </w:tc>
        <w:tc>
          <w:tcPr>
            <w:tcW w:w="1005" w:type="dxa"/>
            <w:tcBorders>
              <w:top w:val="single" w:color="auto" w:sz="12" w:space="0"/>
              <w:left w:val="single" w:color="auto" w:sz="12" w:space="0"/>
              <w:bottom w:val="single" w:color="auto" w:sz="12" w:space="0"/>
              <w:right w:val="single" w:color="auto" w:sz="12" w:space="0"/>
            </w:tcBorders>
            <w:shd w:val="clear" w:color="000000" w:fill="C0C0C0"/>
            <w:noWrap/>
            <w:vAlign w:val="bottom"/>
            <w:hideMark/>
          </w:tcPr>
          <w:p w:rsidRPr="007734E3" w:rsidR="001F0B5F" w:rsidP="009C7491" w:rsidRDefault="001F0B5F" w14:paraId="7FDE47F5" w14:textId="77777777">
            <w:pPr>
              <w:spacing w:line="276" w:lineRule="auto"/>
              <w:jc w:val="center"/>
              <w:rPr>
                <w:rFonts w:ascii="Arial" w:hAnsi="Arial" w:eastAsia="Times New Roman" w:cs="Arial"/>
                <w:b/>
                <w:bCs/>
                <w:sz w:val="20"/>
                <w:szCs w:val="20"/>
              </w:rPr>
            </w:pPr>
            <w:r w:rsidRPr="007734E3">
              <w:rPr>
                <w:rFonts w:ascii="Arial" w:hAnsi="Arial" w:eastAsia="Times New Roman" w:cs="Arial"/>
                <w:b/>
                <w:bCs/>
                <w:sz w:val="20"/>
                <w:szCs w:val="20"/>
              </w:rPr>
              <w:t>Integrity</w:t>
            </w:r>
          </w:p>
        </w:tc>
        <w:tc>
          <w:tcPr>
            <w:tcW w:w="1272" w:type="dxa"/>
            <w:tcBorders>
              <w:top w:val="single" w:color="auto" w:sz="12" w:space="0"/>
              <w:left w:val="single" w:color="auto" w:sz="12" w:space="0"/>
              <w:bottom w:val="single" w:color="auto" w:sz="12" w:space="0"/>
              <w:right w:val="single" w:color="auto" w:sz="12" w:space="0"/>
            </w:tcBorders>
            <w:shd w:val="clear" w:color="000000" w:fill="C0C0C0"/>
            <w:noWrap/>
            <w:vAlign w:val="bottom"/>
            <w:hideMark/>
          </w:tcPr>
          <w:p w:rsidRPr="007734E3" w:rsidR="001F0B5F" w:rsidP="009C7491" w:rsidRDefault="001F0B5F" w14:paraId="0D7B8788" w14:textId="77777777">
            <w:pPr>
              <w:spacing w:line="276" w:lineRule="auto"/>
              <w:jc w:val="center"/>
              <w:rPr>
                <w:rFonts w:ascii="Arial" w:hAnsi="Arial" w:eastAsia="Times New Roman" w:cs="Arial"/>
                <w:b/>
                <w:bCs/>
                <w:sz w:val="20"/>
                <w:szCs w:val="20"/>
              </w:rPr>
            </w:pPr>
            <w:r w:rsidRPr="007734E3">
              <w:rPr>
                <w:rFonts w:ascii="Arial" w:hAnsi="Arial" w:eastAsia="Times New Roman" w:cs="Arial"/>
                <w:b/>
                <w:bCs/>
                <w:sz w:val="20"/>
                <w:szCs w:val="20"/>
              </w:rPr>
              <w:t>Availability</w:t>
            </w:r>
          </w:p>
        </w:tc>
        <w:tc>
          <w:tcPr>
            <w:tcW w:w="1819" w:type="dxa"/>
            <w:tcBorders>
              <w:top w:val="single" w:color="auto" w:sz="12" w:space="0"/>
              <w:left w:val="single" w:color="auto" w:sz="12" w:space="0"/>
              <w:bottom w:val="single" w:color="auto" w:sz="12" w:space="0"/>
              <w:right w:val="single" w:color="auto" w:sz="12" w:space="0"/>
            </w:tcBorders>
            <w:shd w:val="clear" w:color="000000" w:fill="C0C0C0"/>
            <w:noWrap/>
            <w:vAlign w:val="bottom"/>
            <w:hideMark/>
          </w:tcPr>
          <w:p w:rsidRPr="007734E3" w:rsidR="001F0B5F" w:rsidP="009C7491" w:rsidRDefault="001F0B5F" w14:paraId="570B13E4" w14:textId="77777777">
            <w:pPr>
              <w:spacing w:line="276" w:lineRule="auto"/>
              <w:jc w:val="center"/>
              <w:rPr>
                <w:rFonts w:ascii="Arial" w:hAnsi="Arial" w:eastAsia="Times New Roman" w:cs="Arial"/>
                <w:b/>
                <w:bCs/>
                <w:sz w:val="20"/>
                <w:szCs w:val="20"/>
              </w:rPr>
            </w:pPr>
            <w:r w:rsidRPr="007734E3">
              <w:rPr>
                <w:rFonts w:ascii="Arial" w:hAnsi="Arial" w:eastAsia="Times New Roman" w:cs="Arial"/>
                <w:b/>
                <w:bCs/>
                <w:sz w:val="20"/>
                <w:szCs w:val="20"/>
              </w:rPr>
              <w:t>Comments</w:t>
            </w:r>
          </w:p>
        </w:tc>
      </w:tr>
      <w:tr w:rsidRPr="007734E3" w:rsidR="003401CA" w:rsidTr="00A90C71" w14:paraId="689A93B9" w14:textId="77777777">
        <w:trPr>
          <w:trHeight w:val="438"/>
        </w:trPr>
        <w:tc>
          <w:tcPr>
            <w:tcW w:w="1395" w:type="dxa"/>
            <w:tcBorders>
              <w:top w:val="single" w:color="auto" w:sz="12" w:space="0"/>
              <w:left w:val="single" w:color="auto" w:sz="12" w:space="0"/>
              <w:bottom w:val="single" w:color="auto" w:sz="4" w:space="0"/>
              <w:right w:val="single" w:color="auto" w:sz="4" w:space="0"/>
            </w:tcBorders>
            <w:shd w:val="clear" w:color="000000" w:fill="B4C6E7"/>
            <w:hideMark/>
          </w:tcPr>
          <w:p w:rsidRPr="007734E3" w:rsidR="003401CA" w:rsidP="009C7491" w:rsidRDefault="003401CA" w14:paraId="09E14A93" w14:textId="01FA96EB">
            <w:pPr>
              <w:spacing w:line="276" w:lineRule="auto"/>
              <w:rPr>
                <w:rFonts w:ascii="Arial" w:hAnsi="Arial" w:eastAsia="Times New Roman" w:cs="Arial"/>
                <w:sz w:val="20"/>
                <w:szCs w:val="20"/>
              </w:rPr>
            </w:pPr>
            <w:r>
              <w:rPr>
                <w:rFonts w:ascii="Arial" w:hAnsi="Arial" w:eastAsia="Times New Roman" w:cs="Arial"/>
                <w:sz w:val="20"/>
                <w:szCs w:val="20"/>
              </w:rPr>
              <w:t>Regulatory Development</w:t>
            </w:r>
          </w:p>
        </w:tc>
        <w:tc>
          <w:tcPr>
            <w:tcW w:w="2714" w:type="dxa"/>
            <w:tcBorders>
              <w:top w:val="single" w:color="auto" w:sz="12" w:space="0"/>
              <w:left w:val="single" w:color="auto" w:sz="4" w:space="0"/>
              <w:bottom w:val="single" w:color="auto" w:sz="4" w:space="0"/>
              <w:right w:val="single" w:color="auto" w:sz="4" w:space="0"/>
            </w:tcBorders>
            <w:shd w:val="clear" w:color="000000" w:fill="B4C6E7"/>
            <w:hideMark/>
          </w:tcPr>
          <w:p w:rsidRPr="007734E3" w:rsidR="003401CA" w:rsidP="009C7491" w:rsidRDefault="003401CA" w14:paraId="22F6A92B" w14:textId="18C6B953">
            <w:pPr>
              <w:spacing w:line="276" w:lineRule="auto"/>
              <w:rPr>
                <w:rFonts w:ascii="Arial" w:hAnsi="Arial" w:eastAsia="Times New Roman" w:cs="Arial"/>
                <w:sz w:val="20"/>
                <w:szCs w:val="20"/>
              </w:rPr>
            </w:pPr>
            <w:r>
              <w:rPr>
                <w:rFonts w:ascii="Arial" w:hAnsi="Arial" w:eastAsia="Times New Roman" w:cs="Arial"/>
                <w:sz w:val="20"/>
                <w:szCs w:val="20"/>
              </w:rPr>
              <w:t>Public_Comment_Tracking</w:t>
            </w:r>
          </w:p>
        </w:tc>
        <w:tc>
          <w:tcPr>
            <w:tcW w:w="1605" w:type="dxa"/>
            <w:tcBorders>
              <w:top w:val="single" w:color="auto" w:sz="12" w:space="0"/>
              <w:left w:val="single" w:color="auto" w:sz="4" w:space="0"/>
              <w:bottom w:val="single" w:color="auto" w:sz="4" w:space="0"/>
              <w:right w:val="single" w:color="auto" w:sz="4" w:space="0"/>
            </w:tcBorders>
            <w:shd w:val="clear" w:color="000000" w:fill="B4C6E7"/>
            <w:noWrap/>
            <w:vAlign w:val="center"/>
            <w:hideMark/>
          </w:tcPr>
          <w:p w:rsidRPr="007734E3" w:rsidR="003401CA" w:rsidP="009C7491" w:rsidRDefault="003401CA" w14:paraId="6BC4A033" w14:textId="68D654E0">
            <w:pPr>
              <w:spacing w:line="276" w:lineRule="auto"/>
              <w:jc w:val="center"/>
              <w:rPr>
                <w:rFonts w:ascii="Arial" w:hAnsi="Arial" w:eastAsia="Times New Roman" w:cs="Arial"/>
                <w:sz w:val="16"/>
                <w:szCs w:val="16"/>
              </w:rPr>
            </w:pPr>
            <w:r w:rsidRPr="005D3631">
              <w:t>Low</w:t>
            </w:r>
          </w:p>
        </w:tc>
        <w:tc>
          <w:tcPr>
            <w:tcW w:w="1005" w:type="dxa"/>
            <w:tcBorders>
              <w:top w:val="single" w:color="auto" w:sz="12" w:space="0"/>
              <w:left w:val="single" w:color="auto" w:sz="4" w:space="0"/>
              <w:bottom w:val="single" w:color="auto" w:sz="4" w:space="0"/>
              <w:right w:val="single" w:color="auto" w:sz="4" w:space="0"/>
            </w:tcBorders>
            <w:shd w:val="clear" w:color="000000" w:fill="B4C6E7"/>
            <w:noWrap/>
            <w:vAlign w:val="center"/>
            <w:hideMark/>
          </w:tcPr>
          <w:p w:rsidRPr="007734E3" w:rsidR="003401CA" w:rsidP="009C7491" w:rsidRDefault="003401CA" w14:paraId="7142AC9A" w14:textId="189871B7">
            <w:pPr>
              <w:spacing w:line="276" w:lineRule="auto"/>
              <w:jc w:val="center"/>
              <w:rPr>
                <w:rFonts w:ascii="Arial" w:hAnsi="Arial" w:eastAsia="Times New Roman" w:cs="Arial"/>
                <w:sz w:val="16"/>
                <w:szCs w:val="16"/>
              </w:rPr>
            </w:pPr>
            <w:r w:rsidRPr="005D3631">
              <w:t>Low</w:t>
            </w:r>
          </w:p>
        </w:tc>
        <w:tc>
          <w:tcPr>
            <w:tcW w:w="1272" w:type="dxa"/>
            <w:tcBorders>
              <w:top w:val="single" w:color="auto" w:sz="12" w:space="0"/>
              <w:left w:val="single" w:color="auto" w:sz="4" w:space="0"/>
              <w:bottom w:val="single" w:color="auto" w:sz="4" w:space="0"/>
              <w:right w:val="single" w:color="auto" w:sz="4" w:space="0"/>
            </w:tcBorders>
            <w:shd w:val="clear" w:color="000000" w:fill="B4C6E7"/>
            <w:noWrap/>
            <w:vAlign w:val="center"/>
            <w:hideMark/>
          </w:tcPr>
          <w:p w:rsidRPr="007734E3" w:rsidR="003401CA" w:rsidP="009C7491" w:rsidRDefault="003401CA" w14:paraId="25E47553" w14:textId="1700F5BE">
            <w:pPr>
              <w:spacing w:line="276" w:lineRule="auto"/>
              <w:jc w:val="center"/>
              <w:rPr>
                <w:rFonts w:ascii="Arial" w:hAnsi="Arial" w:eastAsia="Times New Roman" w:cs="Arial"/>
                <w:sz w:val="16"/>
                <w:szCs w:val="16"/>
              </w:rPr>
            </w:pPr>
            <w:r w:rsidRPr="005D3631">
              <w:t>Low</w:t>
            </w:r>
          </w:p>
        </w:tc>
        <w:tc>
          <w:tcPr>
            <w:tcW w:w="1819" w:type="dxa"/>
            <w:tcBorders>
              <w:top w:val="single" w:color="auto" w:sz="12" w:space="0"/>
              <w:left w:val="single" w:color="auto" w:sz="4" w:space="0"/>
              <w:bottom w:val="single" w:color="auto" w:sz="4" w:space="0"/>
              <w:right w:val="single" w:color="auto" w:sz="12" w:space="0"/>
            </w:tcBorders>
            <w:shd w:val="clear" w:color="auto" w:fill="auto"/>
            <w:vAlign w:val="bottom"/>
            <w:hideMark/>
          </w:tcPr>
          <w:p w:rsidRPr="007734E3" w:rsidR="003401CA" w:rsidP="009C7491" w:rsidRDefault="003401CA" w14:paraId="4875C1DA" w14:textId="77777777">
            <w:pPr>
              <w:spacing w:line="276" w:lineRule="auto"/>
              <w:rPr>
                <w:rFonts w:ascii="Arial" w:hAnsi="Arial" w:eastAsia="Times New Roman" w:cs="Arial"/>
                <w:sz w:val="16"/>
                <w:szCs w:val="16"/>
              </w:rPr>
            </w:pPr>
            <w:r w:rsidRPr="007734E3">
              <w:rPr>
                <w:rFonts w:ascii="Arial" w:hAnsi="Arial" w:eastAsia="Times New Roman" w:cs="Arial"/>
                <w:sz w:val="16"/>
                <w:szCs w:val="16"/>
              </w:rPr>
              <w:t> </w:t>
            </w:r>
          </w:p>
        </w:tc>
      </w:tr>
      <w:tr w:rsidRPr="007734E3" w:rsidR="001F0B5F" w:rsidTr="00A90C71" w14:paraId="1EBA8B09" w14:textId="62854C1F">
        <w:trPr>
          <w:trHeight w:val="297"/>
        </w:trPr>
        <w:tc>
          <w:tcPr>
            <w:tcW w:w="1395" w:type="dxa"/>
            <w:tcBorders>
              <w:top w:val="single" w:color="auto" w:sz="4" w:space="0"/>
              <w:left w:val="single" w:color="auto" w:sz="12" w:space="0"/>
              <w:bottom w:val="single" w:color="auto" w:sz="12" w:space="0"/>
              <w:right w:val="nil"/>
            </w:tcBorders>
            <w:shd w:val="clear" w:color="auto" w:fill="auto"/>
            <w:vAlign w:val="bottom"/>
            <w:hideMark/>
          </w:tcPr>
          <w:p w:rsidRPr="007734E3" w:rsidR="001F0B5F" w:rsidP="009C7491" w:rsidRDefault="001F0B5F" w14:paraId="6C0C69D2" w14:textId="77777777">
            <w:pPr>
              <w:spacing w:line="276" w:lineRule="auto"/>
              <w:jc w:val="center"/>
              <w:rPr>
                <w:rFonts w:ascii="Arial" w:hAnsi="Arial" w:eastAsia="Times New Roman" w:cs="Arial"/>
                <w:sz w:val="20"/>
                <w:szCs w:val="20"/>
              </w:rPr>
            </w:pPr>
            <w:r w:rsidRPr="007734E3">
              <w:rPr>
                <w:rFonts w:ascii="Arial" w:hAnsi="Arial" w:eastAsia="Times New Roman" w:cs="Arial"/>
                <w:sz w:val="20"/>
                <w:szCs w:val="20"/>
              </w:rPr>
              <w:t> </w:t>
            </w:r>
          </w:p>
        </w:tc>
        <w:tc>
          <w:tcPr>
            <w:tcW w:w="2714" w:type="dxa"/>
            <w:tcBorders>
              <w:top w:val="single" w:color="auto" w:sz="4" w:space="0"/>
              <w:left w:val="nil"/>
              <w:bottom w:val="single" w:color="auto" w:sz="12" w:space="0"/>
              <w:right w:val="single" w:color="auto" w:sz="4" w:space="0"/>
            </w:tcBorders>
            <w:shd w:val="clear" w:color="auto" w:fill="auto"/>
            <w:noWrap/>
            <w:vAlign w:val="center"/>
            <w:hideMark/>
          </w:tcPr>
          <w:p w:rsidRPr="007734E3" w:rsidR="001F0B5F" w:rsidP="009C7491" w:rsidRDefault="001F0B5F" w14:paraId="3344970C" w14:textId="77777777">
            <w:pPr>
              <w:spacing w:line="276" w:lineRule="auto"/>
              <w:jc w:val="center"/>
              <w:rPr>
                <w:rFonts w:ascii="Arial" w:hAnsi="Arial" w:eastAsia="Times New Roman" w:cs="Arial"/>
                <w:sz w:val="16"/>
                <w:szCs w:val="16"/>
              </w:rPr>
            </w:pPr>
            <w:r w:rsidRPr="007734E3">
              <w:rPr>
                <w:rFonts w:ascii="Arial" w:hAnsi="Arial" w:eastAsia="Times New Roman" w:cs="Arial"/>
                <w:sz w:val="16"/>
                <w:szCs w:val="16"/>
              </w:rPr>
              <w:t> </w:t>
            </w:r>
          </w:p>
        </w:tc>
        <w:tc>
          <w:tcPr>
            <w:tcW w:w="1605"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7734E3" w:rsidR="001F0B5F" w:rsidP="009C7491" w:rsidRDefault="001F0B5F" w14:paraId="696387A4" w14:textId="2C9255D0">
            <w:pPr>
              <w:spacing w:line="276" w:lineRule="auto"/>
              <w:jc w:val="center"/>
              <w:rPr>
                <w:rFonts w:ascii="Arial" w:hAnsi="Arial" w:eastAsia="Times New Roman" w:cs="Arial"/>
                <w:sz w:val="16"/>
                <w:szCs w:val="16"/>
              </w:rPr>
            </w:pPr>
            <w:r w:rsidRPr="007734E3">
              <w:rPr>
                <w:rFonts w:ascii="Arial" w:hAnsi="Arial" w:eastAsia="Times New Roman" w:cs="Arial"/>
                <w:sz w:val="16"/>
                <w:szCs w:val="16"/>
              </w:rPr>
              <w:t> </w:t>
            </w:r>
          </w:p>
        </w:tc>
        <w:tc>
          <w:tcPr>
            <w:tcW w:w="1005"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7734E3" w:rsidR="001F0B5F" w:rsidP="009C7491" w:rsidRDefault="003401CA" w14:paraId="2A578814" w14:textId="301B3C80">
            <w:pPr>
              <w:spacing w:line="276" w:lineRule="auto"/>
              <w:jc w:val="center"/>
              <w:rPr>
                <w:rFonts w:eastAsia="Times New Roman" w:cstheme="minorHAnsi"/>
                <w:sz w:val="16"/>
                <w:szCs w:val="16"/>
              </w:rPr>
            </w:pPr>
            <w:r w:rsidRPr="003401CA">
              <w:rPr>
                <w:rFonts w:eastAsia="Times New Roman" w:cstheme="minorHAnsi"/>
              </w:rPr>
              <w:t>Mod</w:t>
            </w:r>
            <w:r w:rsidRPr="007734E3" w:rsidR="001F0B5F">
              <w:rPr>
                <w:rFonts w:eastAsia="Times New Roman" w:cstheme="minorHAnsi"/>
              </w:rPr>
              <w:t> </w:t>
            </w:r>
          </w:p>
        </w:tc>
        <w:tc>
          <w:tcPr>
            <w:tcW w:w="1272" w:type="dxa"/>
            <w:tcBorders>
              <w:top w:val="single" w:color="auto" w:sz="4" w:space="0"/>
              <w:left w:val="single" w:color="auto" w:sz="4" w:space="0"/>
              <w:bottom w:val="single" w:color="auto" w:sz="12" w:space="0"/>
              <w:right w:val="single" w:color="auto" w:sz="4" w:space="0"/>
            </w:tcBorders>
            <w:shd w:val="clear" w:color="auto" w:fill="auto"/>
            <w:vAlign w:val="bottom"/>
            <w:hideMark/>
          </w:tcPr>
          <w:p w:rsidRPr="007734E3" w:rsidR="001F0B5F" w:rsidP="009C7491" w:rsidRDefault="001F0B5F" w14:paraId="7B0C3783" w14:textId="77777777">
            <w:pPr>
              <w:spacing w:line="276" w:lineRule="auto"/>
              <w:rPr>
                <w:rFonts w:ascii="Arial" w:hAnsi="Arial" w:eastAsia="Times New Roman" w:cs="Arial"/>
                <w:sz w:val="16"/>
                <w:szCs w:val="16"/>
              </w:rPr>
            </w:pPr>
            <w:r w:rsidRPr="007734E3">
              <w:rPr>
                <w:rFonts w:ascii="Arial" w:hAnsi="Arial" w:eastAsia="Times New Roman" w:cs="Arial"/>
                <w:sz w:val="16"/>
                <w:szCs w:val="16"/>
              </w:rPr>
              <w:t> </w:t>
            </w:r>
          </w:p>
        </w:tc>
        <w:tc>
          <w:tcPr>
            <w:tcW w:w="1819" w:type="dxa"/>
            <w:tcBorders>
              <w:top w:val="single" w:color="auto" w:sz="4" w:space="0"/>
              <w:left w:val="single" w:color="auto" w:sz="4" w:space="0"/>
              <w:bottom w:val="single" w:color="auto" w:sz="12" w:space="0"/>
              <w:right w:val="single" w:color="auto" w:sz="12" w:space="0"/>
            </w:tcBorders>
            <w:vAlign w:val="bottom"/>
          </w:tcPr>
          <w:p w:rsidRPr="007734E3" w:rsidR="001F0B5F" w:rsidP="00AB3616" w:rsidRDefault="00133F6F" w14:paraId="2EC6243E" w14:textId="5CD7B62D">
            <w:pPr>
              <w:spacing w:line="276" w:lineRule="auto"/>
              <w:jc w:val="center"/>
              <w:rPr>
                <w:rFonts w:ascii="Times New Roman" w:hAnsi="Times New Roman" w:eastAsia="Times New Roman" w:cs="Times New Roman"/>
                <w:sz w:val="20"/>
                <w:szCs w:val="20"/>
              </w:rPr>
            </w:pPr>
            <w:r w:rsidRPr="00AB3616">
              <w:rPr>
                <w:rFonts w:eastAsia="Times New Roman" w:cstheme="minorHAnsi"/>
              </w:rPr>
              <w:t>Lorem Ipsum</w:t>
            </w:r>
          </w:p>
        </w:tc>
      </w:tr>
    </w:tbl>
    <w:p w:rsidR="00810947" w:rsidP="00810947" w:rsidRDefault="00810947" w14:paraId="226D0A1F" w14:textId="2C6CD954">
      <w:pPr>
        <w:pStyle w:val="Heading2"/>
        <w:spacing w:before="0" w:after="160" w:line="276" w:lineRule="auto"/>
      </w:pPr>
      <w:r>
        <w:lastRenderedPageBreak/>
        <w:t>Scoping the Assessment</w:t>
      </w:r>
      <w:r w:rsidR="00704805">
        <w:t xml:space="preserve"> – </w:t>
      </w:r>
      <w:r w:rsidR="00E97E3F">
        <w:t>(</w:t>
      </w:r>
      <w:r w:rsidR="00704805">
        <w:t>SPMA tab</w:t>
      </w:r>
      <w:r w:rsidR="00E97E3F">
        <w:t>)</w:t>
      </w:r>
    </w:p>
    <w:p w:rsidR="005B7D56" w:rsidP="006D2A38" w:rsidRDefault="000A41ED" w14:paraId="2881AE7B" w14:textId="46AFE4FE">
      <w:pPr>
        <w:pStyle w:val="ListParagraph"/>
        <w:numPr>
          <w:ilvl w:val="0"/>
          <w:numId w:val="9"/>
        </w:numPr>
        <w:spacing w:line="276" w:lineRule="auto"/>
      </w:pPr>
      <w:r>
        <w:t>By default, t</w:t>
      </w:r>
      <w:r w:rsidR="00587AA4">
        <w:t>he</w:t>
      </w:r>
      <w:r w:rsidR="006F3E96">
        <w:t xml:space="preserve"> scope of the</w:t>
      </w:r>
      <w:r w:rsidR="00587AA4">
        <w:t xml:space="preserve"> </w:t>
      </w:r>
      <w:r>
        <w:t>maturity assessment</w:t>
      </w:r>
      <w:r w:rsidR="00C434F9">
        <w:t xml:space="preserve"> (SPMA tab)</w:t>
      </w:r>
      <w:r>
        <w:t xml:space="preserve"> is </w:t>
      </w:r>
      <w:r w:rsidR="006F3E96">
        <w:t>limited to only</w:t>
      </w:r>
      <w:r>
        <w:t xml:space="preserve"> </w:t>
      </w:r>
      <w:r w:rsidR="005B7D56">
        <w:t>ITEC controls</w:t>
      </w:r>
      <w:r w:rsidR="004A3786">
        <w:t xml:space="preserve"> (Column J).  For assessments of maturity </w:t>
      </w:r>
      <w:r w:rsidR="0098445E">
        <w:t xml:space="preserve">relative to specific ITEC policies, </w:t>
      </w:r>
      <w:r w:rsidR="000942AD">
        <w:t>click the plus sign (+) to</w:t>
      </w:r>
      <w:r w:rsidR="000F2CEE">
        <w:t xml:space="preserve"> display </w:t>
      </w:r>
      <w:r w:rsidR="00897270">
        <w:t>specific ITEC policies if</w:t>
      </w:r>
      <w:r w:rsidR="000942AD">
        <w:t xml:space="preserve"> </w:t>
      </w:r>
      <w:r w:rsidR="00E15D0F">
        <w:t>further filter</w:t>
      </w:r>
      <w:r w:rsidR="00897270">
        <w:t>ing is necessary.</w:t>
      </w:r>
      <w:r w:rsidR="00E15D0F">
        <w:t xml:space="preserve"> </w:t>
      </w:r>
    </w:p>
    <w:p w:rsidR="00595F89" w:rsidP="009C7491" w:rsidRDefault="005D46D5" w14:paraId="278F254C" w14:textId="10FC4CC0">
      <w:pPr>
        <w:pStyle w:val="ListParagraph"/>
        <w:numPr>
          <w:ilvl w:val="0"/>
          <w:numId w:val="9"/>
        </w:numPr>
        <w:spacing w:line="276" w:lineRule="auto"/>
      </w:pPr>
      <w:r>
        <w:t>Th</w:t>
      </w:r>
      <w:r w:rsidR="00561388">
        <w:t xml:space="preserve">e </w:t>
      </w:r>
      <w:r w:rsidR="00A55825">
        <w:t>objective</w:t>
      </w:r>
      <w:r w:rsidR="00561388">
        <w:t xml:space="preserve"> of this assessment is to evaluate the maturity of the agency’s security program as a whole</w:t>
      </w:r>
      <w:r w:rsidR="004C6CDF">
        <w:t xml:space="preserve"> and not the controls of a specific system. </w:t>
      </w:r>
      <w:r w:rsidR="00E15D0F">
        <w:t xml:space="preserve">However, certain </w:t>
      </w:r>
      <w:r w:rsidR="00E9309F">
        <w:t xml:space="preserve">system </w:t>
      </w:r>
      <w:r w:rsidR="00FD7405">
        <w:t xml:space="preserve">controls require assessment </w:t>
      </w:r>
      <w:r w:rsidR="00E9309F">
        <w:t xml:space="preserve">to determine maturity of the program.  </w:t>
      </w:r>
      <w:r w:rsidR="00D1702F">
        <w:t xml:space="preserve">Where the assessment requests the </w:t>
      </w:r>
      <w:r w:rsidR="00A55825">
        <w:t xml:space="preserve">ISO </w:t>
      </w:r>
      <w:r w:rsidR="00D1702F">
        <w:t xml:space="preserve">to review </w:t>
      </w:r>
      <w:r w:rsidR="00E9309F">
        <w:t>s</w:t>
      </w:r>
      <w:r w:rsidR="00646CC5">
        <w:t xml:space="preserve">ystem </w:t>
      </w:r>
      <w:r w:rsidR="00E9309F">
        <w:t>c</w:t>
      </w:r>
      <w:r w:rsidR="00646CC5">
        <w:t>ontrols (</w:t>
      </w:r>
      <w:r w:rsidR="00537D7B">
        <w:t>NIST Control Type</w:t>
      </w:r>
      <w:r w:rsidR="00646CC5">
        <w:t>.)</w:t>
      </w:r>
      <w:r w:rsidR="00AB0574">
        <w:t xml:space="preserve">, the </w:t>
      </w:r>
      <w:r w:rsidR="00A55825">
        <w:t>ISO</w:t>
      </w:r>
      <w:r w:rsidR="00AB0574">
        <w:t xml:space="preserve"> should review </w:t>
      </w:r>
      <w:r w:rsidR="002619F6">
        <w:t>the</w:t>
      </w:r>
      <w:r w:rsidR="00890D75">
        <w:t xml:space="preserve"> following:</w:t>
      </w:r>
    </w:p>
    <w:p w:rsidR="00BC114E" w:rsidP="009C7491" w:rsidRDefault="00BC114E" w14:paraId="71FAC81E" w14:textId="27E096DF">
      <w:pPr>
        <w:pStyle w:val="ListParagraph"/>
        <w:numPr>
          <w:ilvl w:val="1"/>
          <w:numId w:val="9"/>
        </w:numPr>
        <w:spacing w:line="276" w:lineRule="auto"/>
      </w:pPr>
      <w:r>
        <w:t>Audit</w:t>
      </w:r>
      <w:r w:rsidR="005C051D">
        <w:t xml:space="preserve"> and Accountability Controls</w:t>
      </w:r>
    </w:p>
    <w:p w:rsidR="005C051D" w:rsidP="009C7491" w:rsidRDefault="005C051D" w14:paraId="6E08B0CA" w14:textId="255B1BAE">
      <w:pPr>
        <w:pStyle w:val="ListParagraph"/>
        <w:numPr>
          <w:ilvl w:val="2"/>
          <w:numId w:val="9"/>
        </w:numPr>
        <w:spacing w:line="276" w:lineRule="auto"/>
      </w:pPr>
      <w:r>
        <w:t>Windows Event Logging</w:t>
      </w:r>
    </w:p>
    <w:p w:rsidR="005C051D" w:rsidP="009C7491" w:rsidRDefault="009600E9" w14:paraId="3341ABA4" w14:textId="6E55FBAA">
      <w:pPr>
        <w:pStyle w:val="ListParagraph"/>
        <w:numPr>
          <w:ilvl w:val="2"/>
          <w:numId w:val="9"/>
        </w:numPr>
        <w:spacing w:line="276" w:lineRule="auto"/>
      </w:pPr>
      <w:r>
        <w:t>Firewall Logging</w:t>
      </w:r>
    </w:p>
    <w:p w:rsidR="009600E9" w:rsidP="009C7491" w:rsidRDefault="009600E9" w14:paraId="73A48E95" w14:textId="4D4B5953">
      <w:pPr>
        <w:pStyle w:val="ListParagraph"/>
        <w:numPr>
          <w:ilvl w:val="2"/>
          <w:numId w:val="9"/>
        </w:numPr>
        <w:spacing w:line="276" w:lineRule="auto"/>
      </w:pPr>
      <w:r>
        <w:t>Intrusion Detection Systems</w:t>
      </w:r>
    </w:p>
    <w:p w:rsidR="009600E9" w:rsidP="009C7491" w:rsidRDefault="004E7167" w14:paraId="5EAEA6C8" w14:textId="3A244688">
      <w:pPr>
        <w:pStyle w:val="ListParagraph"/>
        <w:numPr>
          <w:ilvl w:val="1"/>
          <w:numId w:val="9"/>
        </w:numPr>
        <w:spacing w:line="276" w:lineRule="auto"/>
      </w:pPr>
      <w:r>
        <w:t>Access Control</w:t>
      </w:r>
      <w:r w:rsidR="00D62589">
        <w:t>\Identification &amp; Authentication</w:t>
      </w:r>
    </w:p>
    <w:p w:rsidR="004E7167" w:rsidP="009C7491" w:rsidRDefault="004A43D1" w14:paraId="6923D724" w14:textId="7C328CB5">
      <w:pPr>
        <w:pStyle w:val="ListParagraph"/>
        <w:numPr>
          <w:ilvl w:val="2"/>
          <w:numId w:val="9"/>
        </w:numPr>
        <w:spacing w:line="276" w:lineRule="auto"/>
      </w:pPr>
      <w:r>
        <w:t>Windows Group Policy</w:t>
      </w:r>
    </w:p>
    <w:p w:rsidR="002D6708" w:rsidP="009C7491" w:rsidRDefault="002D6708" w14:paraId="3A4CFB5C" w14:textId="393418C8">
      <w:pPr>
        <w:pStyle w:val="ListParagraph"/>
        <w:numPr>
          <w:ilvl w:val="2"/>
          <w:numId w:val="9"/>
        </w:numPr>
        <w:spacing w:line="276" w:lineRule="auto"/>
      </w:pPr>
      <w:r>
        <w:t>Active Directory Groups</w:t>
      </w:r>
    </w:p>
    <w:p w:rsidR="00FF4D9E" w:rsidP="009C7491" w:rsidRDefault="00F22F83" w14:paraId="0BE6B764" w14:textId="4FCA6CBA">
      <w:pPr>
        <w:pStyle w:val="ListParagraph"/>
        <w:numPr>
          <w:ilvl w:val="0"/>
          <w:numId w:val="9"/>
        </w:numPr>
        <w:spacing w:line="276" w:lineRule="auto"/>
      </w:pPr>
      <w:r>
        <w:t>Identify</w:t>
      </w:r>
      <w:r w:rsidR="00890D75">
        <w:t xml:space="preserve"> the originator of the controls by</w:t>
      </w:r>
      <w:r w:rsidR="000A22D9">
        <w:t xml:space="preserve"> determin</w:t>
      </w:r>
      <w:r w:rsidR="00890D75">
        <w:t>ing</w:t>
      </w:r>
      <w:r w:rsidR="000A22D9">
        <w:t xml:space="preserve"> if </w:t>
      </w:r>
      <w:r w:rsidR="00890D75">
        <w:t>specific controls</w:t>
      </w:r>
      <w:r w:rsidR="000A22D9">
        <w:t xml:space="preserve"> are provided by the agency, OITS, or </w:t>
      </w:r>
      <w:r w:rsidR="006D2FA2">
        <w:t xml:space="preserve">another third party. </w:t>
      </w:r>
    </w:p>
    <w:p w:rsidR="00FA1E5B" w:rsidP="00FA1E5B" w:rsidRDefault="00FA1E5B" w14:paraId="1657C7B7" w14:textId="24D52A27">
      <w:pPr>
        <w:pStyle w:val="Heading2"/>
        <w:spacing w:before="0" w:after="160" w:line="276" w:lineRule="auto"/>
      </w:pPr>
      <w:r>
        <w:t>Process Control Owner</w:t>
      </w:r>
      <w:r w:rsidR="00401DF7">
        <w:t xml:space="preserve"> – (SPMA tab)</w:t>
      </w:r>
    </w:p>
    <w:p w:rsidR="00FA1E5B" w:rsidP="00FA1E5B" w:rsidRDefault="00FA1E5B" w14:paraId="409580D6" w14:textId="77777777">
      <w:pPr>
        <w:pStyle w:val="ListParagraph"/>
        <w:numPr>
          <w:ilvl w:val="0"/>
          <w:numId w:val="26"/>
        </w:numPr>
        <w:spacing w:line="276" w:lineRule="auto"/>
      </w:pPr>
      <w:r>
        <w:t xml:space="preserve">Identify the owner or department responsible for implementation of any corrective actions. </w:t>
      </w:r>
    </w:p>
    <w:p w:rsidR="00FA1E5B" w:rsidP="00FA1E5B" w:rsidRDefault="00FA1E5B" w14:paraId="427C64EA" w14:textId="5D2C30CA">
      <w:pPr>
        <w:pStyle w:val="ListParagraph"/>
        <w:numPr>
          <w:ilvl w:val="0"/>
          <w:numId w:val="26"/>
        </w:numPr>
        <w:spacing w:line="276" w:lineRule="auto"/>
      </w:pPr>
      <w:r>
        <w:t xml:space="preserve">For controls with maturity ratings less than five (5), specify what is absent or misconfigured from the agency’s program or control. </w:t>
      </w:r>
    </w:p>
    <w:p w:rsidR="00557F58" w:rsidP="00557F58" w:rsidRDefault="00327DC5" w14:paraId="0358A93A" w14:textId="21DFD7B7">
      <w:pPr>
        <w:pStyle w:val="Heading2"/>
        <w:spacing w:before="0" w:after="160" w:line="276" w:lineRule="auto"/>
      </w:pPr>
      <w:r>
        <w:t xml:space="preserve">Control </w:t>
      </w:r>
      <w:r w:rsidR="005D033F">
        <w:t>Analysis – (SPMA tab)</w:t>
      </w:r>
    </w:p>
    <w:p w:rsidRPr="009C5E55" w:rsidR="009C5E55" w:rsidP="009C5E55" w:rsidRDefault="009726CF" w14:paraId="23634692" w14:textId="59D64ADE">
      <w:pPr>
        <w:pStyle w:val="ListParagraph"/>
        <w:numPr>
          <w:ilvl w:val="0"/>
          <w:numId w:val="29"/>
        </w:numPr>
      </w:pPr>
      <w:r>
        <w:t>T</w:t>
      </w:r>
      <w:r w:rsidR="009C5E55">
        <w:t xml:space="preserve">o support </w:t>
      </w:r>
      <w:r w:rsidR="00561DA7">
        <w:t>maturity score</w:t>
      </w:r>
      <w:r>
        <w:t>s</w:t>
      </w:r>
      <w:r w:rsidR="00561DA7">
        <w:t xml:space="preserve">, ISOs </w:t>
      </w:r>
      <w:r w:rsidR="00861B39">
        <w:t xml:space="preserve">will need to </w:t>
      </w:r>
      <w:r w:rsidR="00561DA7">
        <w:t xml:space="preserve">document </w:t>
      </w:r>
      <w:r w:rsidR="000D3CC6">
        <w:t xml:space="preserve">how they came to their conclusions.  </w:t>
      </w:r>
      <w:r w:rsidR="00B91DEB">
        <w:t xml:space="preserve">In the </w:t>
      </w:r>
      <w:r w:rsidR="000725E1">
        <w:t xml:space="preserve">control analysis field document </w:t>
      </w:r>
      <w:r w:rsidR="00D725FB">
        <w:t xml:space="preserve">information such as </w:t>
      </w:r>
      <w:r w:rsidR="00F6278B">
        <w:t xml:space="preserve">individuals interviewed </w:t>
      </w:r>
      <w:r w:rsidR="00816E78">
        <w:t xml:space="preserve">and/or any </w:t>
      </w:r>
      <w:r w:rsidR="00B91A94">
        <w:t>documentation</w:t>
      </w:r>
      <w:r w:rsidR="006146BF">
        <w:t xml:space="preserve"> or settings </w:t>
      </w:r>
      <w:r w:rsidR="000725E1">
        <w:t>reviewed</w:t>
      </w:r>
      <w:r w:rsidR="00816E78">
        <w:t>.</w:t>
      </w:r>
    </w:p>
    <w:p w:rsidR="00284469" w:rsidP="00284469" w:rsidRDefault="00284469" w14:paraId="754A30F9" w14:textId="556507C6">
      <w:pPr>
        <w:pStyle w:val="Heading2"/>
        <w:spacing w:before="0" w:after="160" w:line="276" w:lineRule="auto"/>
      </w:pPr>
      <w:r>
        <w:t>Scoring Maturity</w:t>
      </w:r>
      <w:r w:rsidR="00401DF7">
        <w:t xml:space="preserve"> – (SPMA tab)</w:t>
      </w:r>
    </w:p>
    <w:p w:rsidR="00FE2B81" w:rsidP="00D0238C" w:rsidRDefault="00565210" w14:paraId="775F5CE5" w14:textId="4AD2028D">
      <w:pPr>
        <w:pStyle w:val="ListParagraph"/>
        <w:numPr>
          <w:ilvl w:val="0"/>
          <w:numId w:val="28"/>
        </w:numPr>
        <w:spacing w:line="276" w:lineRule="auto"/>
      </w:pPr>
      <w:r>
        <w:t>Assess</w:t>
      </w:r>
      <w:r w:rsidR="00AF1254">
        <w:t xml:space="preserve"> the maturity of the control by selecting the appropriate maturity score</w:t>
      </w:r>
      <w:r w:rsidR="00F85D95">
        <w:t xml:space="preserve"> from 1 (lowest</w:t>
      </w:r>
      <w:r w:rsidR="003720E4">
        <w:t>) to 5 (highest)</w:t>
      </w:r>
      <w:r w:rsidR="005C200B">
        <w:t xml:space="preserve"> {See appendix A </w:t>
      </w:r>
      <w:r w:rsidR="003726E2">
        <w:t>for the entire table}.</w:t>
      </w:r>
      <w:r w:rsidR="003720E4">
        <w:t xml:space="preserve"> </w:t>
      </w:r>
      <w:r w:rsidR="00184FE5">
        <w:t xml:space="preserve">If a control is provided by OITS, reference the score from the OITS assessment.  </w:t>
      </w:r>
      <w:r w:rsidR="00FB0C88">
        <w:t xml:space="preserve">Example – KDOL firewalls are managed by KISO.  The maturity of </w:t>
      </w:r>
      <w:r w:rsidR="000541B3">
        <w:t>KISO</w:t>
      </w:r>
      <w:r w:rsidR="00261879">
        <w:t>’</w:t>
      </w:r>
      <w:r w:rsidR="00917B42">
        <w:t>s</w:t>
      </w:r>
      <w:r w:rsidR="00FB0C88">
        <w:t xml:space="preserve"> firewall</w:t>
      </w:r>
      <w:r w:rsidR="00261879">
        <w:t xml:space="preserve"> controls will be inherited from the</w:t>
      </w:r>
      <w:r w:rsidR="00FB0C88">
        <w:t xml:space="preserve"> OITS </w:t>
      </w:r>
      <w:r w:rsidR="00261879">
        <w:t xml:space="preserve">assessment.  </w:t>
      </w:r>
      <w:r w:rsidR="000B6375">
        <w:t xml:space="preserve">By </w:t>
      </w:r>
      <w:r w:rsidR="008F7F82">
        <w:t xml:space="preserve">referencing the </w:t>
      </w:r>
      <w:r w:rsidR="00097E1B">
        <w:t xml:space="preserve">controls from this perspective gives ISO’s a metric for determining the </w:t>
      </w:r>
      <w:r w:rsidR="00036F46">
        <w:t xml:space="preserve">impact severity of a </w:t>
      </w:r>
      <w:r w:rsidR="002E584B">
        <w:t xml:space="preserve">less mature control. </w:t>
      </w:r>
    </w:p>
    <w:p w:rsidR="00B30A77" w:rsidP="00B30A77" w:rsidRDefault="00B30A77" w14:paraId="4A7D82A1" w14:textId="729BAB58">
      <w:pPr>
        <w:pStyle w:val="Heading2"/>
        <w:spacing w:before="0" w:after="160" w:line="276" w:lineRule="auto"/>
      </w:pPr>
      <w:r>
        <w:t xml:space="preserve">Gaps </w:t>
      </w:r>
      <w:r w:rsidR="00401DF7">
        <w:t>– (SPMA tab)</w:t>
      </w:r>
    </w:p>
    <w:p w:rsidR="00401DF7" w:rsidP="00D0238C" w:rsidRDefault="00D0238C" w14:paraId="59094355" w14:textId="71D9ADE2">
      <w:pPr>
        <w:pStyle w:val="ListParagraph"/>
        <w:numPr>
          <w:ilvl w:val="0"/>
          <w:numId w:val="27"/>
        </w:numPr>
      </w:pPr>
      <w:r>
        <w:t xml:space="preserve">Document any gaps identified within the boundary of the control.  This could be the lack of certain policies, </w:t>
      </w:r>
      <w:r w:rsidR="00AD0E72">
        <w:t>standards, or procedures</w:t>
      </w:r>
      <w:r w:rsidR="00B435BA">
        <w:t xml:space="preserve">; </w:t>
      </w:r>
      <w:r w:rsidR="005E403E">
        <w:t xml:space="preserve">partial implementation of </w:t>
      </w:r>
      <w:r w:rsidR="00B208AF">
        <w:t xml:space="preserve">security </w:t>
      </w:r>
      <w:r w:rsidR="005E403E">
        <w:t xml:space="preserve">system functionality; or the </w:t>
      </w:r>
      <w:r w:rsidR="00E4095F">
        <w:t xml:space="preserve">complete </w:t>
      </w:r>
      <w:r w:rsidR="00017091">
        <w:t>absence of a</w:t>
      </w:r>
      <w:r w:rsidR="00BB1C09">
        <w:t xml:space="preserve"> security </w:t>
      </w:r>
      <w:r w:rsidR="00B208AF">
        <w:t>process or tool.</w:t>
      </w:r>
    </w:p>
    <w:p w:rsidR="005B4719" w:rsidP="005B4719" w:rsidRDefault="005B4719" w14:paraId="385AB148" w14:textId="77777777"/>
    <w:p w:rsidR="005B4719" w:rsidP="001A5A3F" w:rsidRDefault="005B4719" w14:paraId="535F5104" w14:textId="36F0A180">
      <w:pPr>
        <w:pStyle w:val="ListParagraph"/>
      </w:pPr>
    </w:p>
    <w:p w:rsidRPr="00401DF7" w:rsidR="005B4719" w:rsidP="005B4719" w:rsidRDefault="005B4719" w14:paraId="487079F3" w14:textId="77777777"/>
    <w:p w:rsidRPr="00401DF7" w:rsidR="00CB52F4" w:rsidP="009C7491" w:rsidRDefault="00CB52F4" w14:paraId="0B7BEB1D" w14:textId="48FC053D">
      <w:pPr>
        <w:pStyle w:val="Heading2"/>
        <w:spacing w:before="0" w:after="160" w:line="276" w:lineRule="auto"/>
        <w:rPr>
          <w:b/>
          <w:bCs/>
        </w:rPr>
      </w:pPr>
      <w:r>
        <w:lastRenderedPageBreak/>
        <w:t>Plans of Action and Milestones</w:t>
      </w:r>
      <w:r w:rsidR="00401DF7">
        <w:t xml:space="preserve"> – (POA&amp;M tab)</w:t>
      </w:r>
    </w:p>
    <w:p w:rsidR="00135163" w:rsidP="009C7491" w:rsidRDefault="009D4FE5" w14:paraId="20B5DECA" w14:textId="0511D3F8">
      <w:pPr>
        <w:pStyle w:val="ListParagraph"/>
        <w:numPr>
          <w:ilvl w:val="0"/>
          <w:numId w:val="12"/>
        </w:numPr>
        <w:spacing w:line="276" w:lineRule="auto"/>
      </w:pPr>
      <w:r>
        <w:t xml:space="preserve">Once the </w:t>
      </w:r>
      <w:r w:rsidR="008D4665">
        <w:t>initial assessment is completed, the ISO should proceed to updat</w:t>
      </w:r>
      <w:r w:rsidR="00A85432">
        <w:t xml:space="preserve">e </w:t>
      </w:r>
      <w:r w:rsidR="008D4665">
        <w:t xml:space="preserve">the </w:t>
      </w:r>
      <w:r w:rsidR="005864D1">
        <w:t>Plans of Action &amp; Milestones</w:t>
      </w:r>
      <w:r w:rsidR="00A85432">
        <w:t xml:space="preserve"> by copying over each item </w:t>
      </w:r>
      <w:r w:rsidR="001C5768">
        <w:t>scored less tha</w:t>
      </w:r>
      <w:r w:rsidR="00791B93">
        <w:t>n a five (5)</w:t>
      </w:r>
      <w:r w:rsidR="005864D1">
        <w:t xml:space="preserve">.  </w:t>
      </w:r>
    </w:p>
    <w:p w:rsidR="00727C80" w:rsidP="009C7491" w:rsidRDefault="00727C80" w14:paraId="0841FF62" w14:textId="63D19294">
      <w:pPr>
        <w:pStyle w:val="ListParagraph"/>
        <w:numPr>
          <w:ilvl w:val="0"/>
          <w:numId w:val="12"/>
        </w:numPr>
        <w:spacing w:line="276" w:lineRule="auto"/>
      </w:pPr>
      <w:r>
        <w:t>Fill in the appropriate fields</w:t>
      </w:r>
      <w:r w:rsidR="00EF5618">
        <w:t xml:space="preserve"> on the POA&amp;M tab</w:t>
      </w:r>
      <w:r>
        <w:t xml:space="preserve"> with values from the </w:t>
      </w:r>
      <w:r w:rsidR="00D864F6">
        <w:t xml:space="preserve">SPMA tab. </w:t>
      </w:r>
      <w:r w:rsidR="00F9327A">
        <w:t xml:space="preserve">An explanation of the type of data to </w:t>
      </w:r>
      <w:r w:rsidR="001B680E">
        <w:t xml:space="preserve">provide or pull from the SPMA is listed underneath </w:t>
      </w:r>
      <w:r w:rsidR="00334446">
        <w:t xml:space="preserve">each </w:t>
      </w:r>
      <w:r w:rsidR="001B680E">
        <w:t>column headings</w:t>
      </w:r>
      <w:r w:rsidR="00334446">
        <w:t xml:space="preserve"> along with examples. </w:t>
      </w:r>
    </w:p>
    <w:p w:rsidR="00837A01" w:rsidP="009C7491" w:rsidRDefault="00D864F6" w14:paraId="195CBCA7" w14:textId="103F31C0">
      <w:pPr>
        <w:pStyle w:val="ListParagraph"/>
        <w:numPr>
          <w:ilvl w:val="0"/>
          <w:numId w:val="12"/>
        </w:numPr>
        <w:spacing w:line="276" w:lineRule="auto"/>
      </w:pPr>
      <w:r>
        <w:t>After</w:t>
      </w:r>
      <w:r w:rsidR="00135163">
        <w:t xml:space="preserve"> accumulat</w:t>
      </w:r>
      <w:r w:rsidR="000D69E7">
        <w:t>ing</w:t>
      </w:r>
      <w:r w:rsidR="00135163">
        <w:t xml:space="preserve"> the results</w:t>
      </w:r>
      <w:r w:rsidR="000D69E7">
        <w:t xml:space="preserve">, the ISO should </w:t>
      </w:r>
      <w:r w:rsidR="002E7526">
        <w:t xml:space="preserve">review the </w:t>
      </w:r>
      <w:r w:rsidR="00D35B04">
        <w:t>identified gaps</w:t>
      </w:r>
      <w:r w:rsidR="00550F7A">
        <w:t xml:space="preserve"> and develop recommended resolution plans for each of the </w:t>
      </w:r>
      <w:r w:rsidR="00875F7E">
        <w:t>gaps with a maturity score less than 5</w:t>
      </w:r>
      <w:r w:rsidR="005731B0">
        <w:t>. Potential r</w:t>
      </w:r>
      <w:r w:rsidR="00875F7E">
        <w:t>esolution</w:t>
      </w:r>
      <w:r w:rsidR="005731B0">
        <w:t xml:space="preserve"> plans </w:t>
      </w:r>
      <w:r w:rsidR="005503C9">
        <w:t xml:space="preserve">might include </w:t>
      </w:r>
      <w:r w:rsidR="000D01A0">
        <w:t>options such as e</w:t>
      </w:r>
      <w:r w:rsidR="00166300">
        <w:t>st</w:t>
      </w:r>
      <w:r w:rsidR="004D5799">
        <w:t>ablish</w:t>
      </w:r>
      <w:r w:rsidR="000D01A0">
        <w:t>ing</w:t>
      </w:r>
      <w:r w:rsidR="004D5799">
        <w:t xml:space="preserve"> new or </w:t>
      </w:r>
      <w:r w:rsidR="00C75485">
        <w:t>modify</w:t>
      </w:r>
      <w:r w:rsidR="000D01A0">
        <w:t>ing</w:t>
      </w:r>
      <w:r w:rsidR="00C75485">
        <w:t xml:space="preserve"> current</w:t>
      </w:r>
      <w:r w:rsidR="0048224E">
        <w:t xml:space="preserve"> policies, standard, or procedures, </w:t>
      </w:r>
      <w:r w:rsidR="000D01A0">
        <w:t>m</w:t>
      </w:r>
      <w:r w:rsidR="00713B5B">
        <w:t>ak</w:t>
      </w:r>
      <w:r w:rsidR="000D01A0">
        <w:t>ing</w:t>
      </w:r>
      <w:r w:rsidR="00713B5B">
        <w:t xml:space="preserve"> </w:t>
      </w:r>
      <w:r w:rsidR="00D27FBF">
        <w:t xml:space="preserve">changes to current business/IT processes, </w:t>
      </w:r>
      <w:r w:rsidR="00713B5B">
        <w:t xml:space="preserve">or </w:t>
      </w:r>
      <w:r w:rsidR="000D01A0">
        <w:t>p</w:t>
      </w:r>
      <w:r w:rsidR="00D27FBF">
        <w:t>urchas</w:t>
      </w:r>
      <w:r w:rsidR="000D01A0">
        <w:t>ing</w:t>
      </w:r>
      <w:r w:rsidR="00D27FBF">
        <w:t xml:space="preserve"> new</w:t>
      </w:r>
      <w:r w:rsidRPr="00590D8F" w:rsidR="00590D8F">
        <w:t xml:space="preserve"> systems</w:t>
      </w:r>
      <w:r w:rsidR="005C099C">
        <w:t xml:space="preserve">. </w:t>
      </w:r>
      <w:r w:rsidRPr="00D26207" w:rsidR="007D10AD">
        <w:rPr>
          <w:b/>
          <w:bCs/>
          <w:i/>
          <w:iCs/>
        </w:rPr>
        <w:t xml:space="preserve">Contact the CISO or Deputy CISO to </w:t>
      </w:r>
      <w:r w:rsidRPr="00D26207" w:rsidR="00D26207">
        <w:rPr>
          <w:b/>
          <w:bCs/>
          <w:i/>
          <w:iCs/>
        </w:rPr>
        <w:t>find out if there are any central office services that may be available or planned.</w:t>
      </w:r>
      <w:r w:rsidR="00D26207">
        <w:rPr>
          <w:b/>
          <w:bCs/>
        </w:rPr>
        <w:t xml:space="preserve"> </w:t>
      </w:r>
    </w:p>
    <w:p w:rsidR="00166300" w:rsidP="009C7491" w:rsidRDefault="003102EC" w14:paraId="73426EB8" w14:textId="19792FCF">
      <w:pPr>
        <w:pStyle w:val="ListParagraph"/>
        <w:numPr>
          <w:ilvl w:val="0"/>
          <w:numId w:val="12"/>
        </w:numPr>
        <w:spacing w:line="276" w:lineRule="auto"/>
      </w:pPr>
      <w:r>
        <w:t>Once proposed solu</w:t>
      </w:r>
      <w:r w:rsidR="00C17AA9">
        <w:t xml:space="preserve">tions are identified for each of the </w:t>
      </w:r>
      <w:r w:rsidR="00673C42">
        <w:t>gaps, the ISO will meet with agency leadership to obtain buy-in</w:t>
      </w:r>
      <w:r w:rsidR="00914441">
        <w:t>/</w:t>
      </w:r>
      <w:r w:rsidR="00673C42">
        <w:t>approval</w:t>
      </w:r>
      <w:r w:rsidR="00914441">
        <w:t xml:space="preserve"> and determine prioritization </w:t>
      </w:r>
      <w:r w:rsidR="00B93BCC">
        <w:t>for recommended r</w:t>
      </w:r>
      <w:r w:rsidR="008C2408">
        <w:t>esolution</w:t>
      </w:r>
      <w:r w:rsidR="00B93BCC">
        <w:t xml:space="preserve"> plans</w:t>
      </w:r>
      <w:r w:rsidR="00643A7D">
        <w:t xml:space="preserve">. </w:t>
      </w:r>
      <w:r w:rsidR="004B2B3B">
        <w:t>For</w:t>
      </w:r>
      <w:r w:rsidR="00BD0CD8">
        <w:t xml:space="preserve"> the agency to understand the potential level </w:t>
      </w:r>
      <w:r w:rsidR="00B3556A">
        <w:t>or timeframe for resolution</w:t>
      </w:r>
      <w:r w:rsidR="00BD0CD8">
        <w:t xml:space="preserve"> </w:t>
      </w:r>
      <w:r w:rsidR="00377AB6">
        <w:t xml:space="preserve">the following prepopulated options are provided. </w:t>
      </w:r>
      <w:r w:rsidR="008C2408">
        <w:t xml:space="preserve">This information is important as it will be used for a strategic planning chart. </w:t>
      </w:r>
    </w:p>
    <w:p w:rsidR="00AC437F" w:rsidP="009C7491" w:rsidRDefault="00AC437F" w14:paraId="35C08417" w14:textId="37485816">
      <w:pPr>
        <w:pStyle w:val="ListParagraph"/>
        <w:numPr>
          <w:ilvl w:val="1"/>
          <w:numId w:val="12"/>
        </w:numPr>
        <w:spacing w:line="276" w:lineRule="auto"/>
      </w:pPr>
      <w:r>
        <w:t>≤ 30 days (Immediate Actions)</w:t>
      </w:r>
    </w:p>
    <w:p w:rsidR="00AC437F" w:rsidP="009C7491" w:rsidRDefault="00AC437F" w14:paraId="35983601" w14:textId="77777777">
      <w:pPr>
        <w:pStyle w:val="ListParagraph"/>
        <w:numPr>
          <w:ilvl w:val="1"/>
          <w:numId w:val="12"/>
        </w:numPr>
        <w:spacing w:line="276" w:lineRule="auto"/>
      </w:pPr>
      <w:r>
        <w:t>1 – 3 months (Quick Wins)</w:t>
      </w:r>
    </w:p>
    <w:p w:rsidR="00AC437F" w:rsidP="009C7491" w:rsidRDefault="00AC437F" w14:paraId="2B5CA16D" w14:textId="77777777">
      <w:pPr>
        <w:pStyle w:val="ListParagraph"/>
        <w:numPr>
          <w:ilvl w:val="1"/>
          <w:numId w:val="12"/>
        </w:numPr>
        <w:spacing w:line="276" w:lineRule="auto"/>
      </w:pPr>
      <w:r>
        <w:t>3 – 6 months (Near Term)</w:t>
      </w:r>
    </w:p>
    <w:p w:rsidR="00AC437F" w:rsidP="009C7491" w:rsidRDefault="00AC437F" w14:paraId="1BA99D01" w14:textId="77777777">
      <w:pPr>
        <w:pStyle w:val="ListParagraph"/>
        <w:numPr>
          <w:ilvl w:val="1"/>
          <w:numId w:val="12"/>
        </w:numPr>
        <w:spacing w:line="276" w:lineRule="auto"/>
      </w:pPr>
      <w:r>
        <w:t>6 – 18 months (Multi Phased Integration)</w:t>
      </w:r>
    </w:p>
    <w:p w:rsidR="00AC437F" w:rsidP="009C7491" w:rsidRDefault="00AC437F" w14:paraId="54BEC60B" w14:textId="68E92793">
      <w:pPr>
        <w:pStyle w:val="ListParagraph"/>
        <w:numPr>
          <w:ilvl w:val="1"/>
          <w:numId w:val="12"/>
        </w:numPr>
        <w:spacing w:line="276" w:lineRule="auto"/>
      </w:pPr>
      <w:r>
        <w:t>18 – 36 months (Long Term)</w:t>
      </w:r>
    </w:p>
    <w:p w:rsidR="00E62D5A" w:rsidP="006F6A6F" w:rsidRDefault="00E62D5A" w14:paraId="08235DE4" w14:textId="38107C1D">
      <w:pPr>
        <w:pStyle w:val="Heading2"/>
        <w:spacing w:before="0" w:after="160" w:line="276" w:lineRule="auto"/>
        <w:jc w:val="center"/>
      </w:pPr>
      <w:r>
        <w:t>Roadmap Development</w:t>
      </w:r>
    </w:p>
    <w:p w:rsidR="00E62D5A" w:rsidP="008D355D" w:rsidRDefault="00E62D5A" w14:paraId="4FD5B28B" w14:textId="11148FD6">
      <w:pPr>
        <w:spacing w:line="276" w:lineRule="auto"/>
      </w:pPr>
      <w:r>
        <w:t xml:space="preserve">Microsoft O365 has a Milestones application that is a fantastic resource for project management.  The ISO is encouraged to use this app as a tool for development and tracking the security maturity roadmap. </w:t>
      </w:r>
      <w:r w:rsidR="00207103">
        <w:t xml:space="preserve"> Use the information from the POA&amp;M to </w:t>
      </w:r>
      <w:r w:rsidR="00BE76CE">
        <w:t>create the project plans in Milestones.</w:t>
      </w:r>
      <w:r>
        <w:t xml:space="preserve"> </w:t>
      </w:r>
      <w:r w:rsidR="003708FF">
        <w:t xml:space="preserve">For ISO’s that do not want to use the Milestones app, </w:t>
      </w:r>
      <w:r w:rsidR="0010746F">
        <w:t xml:space="preserve">all milestones should be tracked in the POA&amp;M or on a project plan spreadsheet.  The important thing is that the project plan stay within the </w:t>
      </w:r>
      <w:r w:rsidR="00224667">
        <w:t xml:space="preserve">Teams site/channel.  </w:t>
      </w:r>
    </w:p>
    <w:p w:rsidR="00F254D9" w:rsidP="008D355D" w:rsidRDefault="00BE76CE" w14:paraId="56226009" w14:textId="5175C385">
      <w:r>
        <w:t xml:space="preserve">The </w:t>
      </w:r>
      <w:r w:rsidR="00125E20">
        <w:t>l</w:t>
      </w:r>
      <w:r w:rsidR="00E62D5A">
        <w:t xml:space="preserve">ink </w:t>
      </w:r>
      <w:r w:rsidR="00125E20">
        <w:t xml:space="preserve">provided are </w:t>
      </w:r>
      <w:r w:rsidR="00E62D5A">
        <w:t xml:space="preserve">instructions to add and configure the Milestone app </w:t>
      </w:r>
      <w:hyperlink w:history="1" r:id="rId11">
        <w:r w:rsidRPr="000D3863" w:rsidR="00E62D5A">
          <w:rPr>
            <w:rStyle w:val="Hyperlink"/>
          </w:rPr>
          <w:t>https://docs.microsoft.com/en-us/power-apps/teams/milestones</w:t>
        </w:r>
      </w:hyperlink>
      <w:r w:rsidR="00E62D5A">
        <w:t xml:space="preserve">.  Once the app is added to the channel, </w:t>
      </w:r>
      <w:r w:rsidR="00711E14">
        <w:t>the next step is to develop the project plan and milestones</w:t>
      </w:r>
      <w:r w:rsidR="00E62D5A">
        <w:t>.</w:t>
      </w:r>
      <w:r w:rsidR="00671964">
        <w:t xml:space="preserve">  </w:t>
      </w:r>
      <w:r w:rsidR="00C56D11">
        <w:t xml:space="preserve">Separate project plans should be created for each of the major recommendations, with the </w:t>
      </w:r>
      <w:r w:rsidRPr="00677EC8" w:rsidR="00677EC8">
        <w:t xml:space="preserve">maturity phases </w:t>
      </w:r>
      <w:r w:rsidR="00C56D11">
        <w:t xml:space="preserve">of </w:t>
      </w:r>
      <w:r w:rsidR="00543884">
        <w:t xml:space="preserve">1 to 5 </w:t>
      </w:r>
      <w:r w:rsidRPr="00677EC8" w:rsidR="00677EC8">
        <w:t>as the milestones</w:t>
      </w:r>
      <w:r w:rsidR="00543884">
        <w:t>. M</w:t>
      </w:r>
      <w:r w:rsidRPr="00677EC8" w:rsidR="00677EC8">
        <w:t>ap</w:t>
      </w:r>
      <w:r w:rsidR="00543884">
        <w:t xml:space="preserve">ping the </w:t>
      </w:r>
      <w:r w:rsidRPr="00677EC8" w:rsidR="00677EC8">
        <w:t xml:space="preserve">phase levels </w:t>
      </w:r>
      <w:r w:rsidR="000601AA">
        <w:t>should hopefully make it easier to track and report to management the status of each individual project</w:t>
      </w:r>
      <w:r w:rsidRPr="00677EC8" w:rsidR="00677EC8">
        <w:t xml:space="preserve">.  </w:t>
      </w:r>
    </w:p>
    <w:p w:rsidR="00507E96" w:rsidP="008D355D" w:rsidRDefault="000601AA" w14:paraId="625623F9" w14:textId="7ED80DC5">
      <w:r>
        <w:t xml:space="preserve">Below is an </w:t>
      </w:r>
      <w:r w:rsidR="00767C80">
        <w:t>example</w:t>
      </w:r>
      <w:r>
        <w:t xml:space="preserve"> of creating a project plan based on </w:t>
      </w:r>
      <w:r w:rsidR="005A2085">
        <w:t xml:space="preserve">a recommendation to implement </w:t>
      </w:r>
      <w:r w:rsidR="00EF2481">
        <w:t>multi-factor authentication</w:t>
      </w:r>
      <w:r w:rsidR="00EB1C00">
        <w:t xml:space="preserve"> (MFA)</w:t>
      </w:r>
      <w:r w:rsidR="007A0193">
        <w:t xml:space="preserve"> for an agency that does not have a policy for MFA</w:t>
      </w:r>
      <w:r w:rsidR="00EF2481">
        <w:t xml:space="preserve">.  </w:t>
      </w:r>
    </w:p>
    <w:p w:rsidR="00507E96" w:rsidP="00507E96" w:rsidRDefault="00507E96" w14:paraId="63FAB6A2" w14:textId="59A92CA1">
      <w:pPr>
        <w:pStyle w:val="ListParagraph"/>
        <w:numPr>
          <w:ilvl w:val="0"/>
          <w:numId w:val="35"/>
        </w:numPr>
      </w:pPr>
      <w:r>
        <w:t>P</w:t>
      </w:r>
      <w:r w:rsidR="00722067">
        <w:t xml:space="preserve">hase 1 </w:t>
      </w:r>
      <w:r>
        <w:t xml:space="preserve">(Initial) </w:t>
      </w:r>
      <w:r w:rsidR="00722067">
        <w:t xml:space="preserve">would be to </w:t>
      </w:r>
      <w:r w:rsidR="00530272">
        <w:t>implement</w:t>
      </w:r>
      <w:r w:rsidR="00722067">
        <w:t xml:space="preserve"> </w:t>
      </w:r>
      <w:r w:rsidR="00875649">
        <w:t xml:space="preserve">a </w:t>
      </w:r>
      <w:r w:rsidR="00722067">
        <w:t>policy</w:t>
      </w:r>
      <w:r w:rsidR="00452556">
        <w:t xml:space="preserve"> or add language to a current policy</w:t>
      </w:r>
    </w:p>
    <w:p w:rsidR="003B49C5" w:rsidP="003B49C5" w:rsidRDefault="003B49C5" w14:paraId="4A22041D" w14:textId="68E97496">
      <w:pPr>
        <w:pStyle w:val="ListParagraph"/>
        <w:numPr>
          <w:ilvl w:val="1"/>
          <w:numId w:val="35"/>
        </w:numPr>
      </w:pPr>
      <w:r>
        <w:t>Define the minimum requirements</w:t>
      </w:r>
    </w:p>
    <w:p w:rsidR="003B49C5" w:rsidP="003B49C5" w:rsidRDefault="003B49C5" w14:paraId="5F2A9793" w14:textId="52237A46">
      <w:pPr>
        <w:pStyle w:val="ListParagraph"/>
        <w:numPr>
          <w:ilvl w:val="1"/>
          <w:numId w:val="35"/>
        </w:numPr>
      </w:pPr>
      <w:r>
        <w:t>Establish use cases</w:t>
      </w:r>
    </w:p>
    <w:p w:rsidR="00950BF7" w:rsidP="00507E96" w:rsidRDefault="00507E96" w14:paraId="5FC13287" w14:textId="77777777">
      <w:pPr>
        <w:pStyle w:val="ListParagraph"/>
        <w:numPr>
          <w:ilvl w:val="0"/>
          <w:numId w:val="35"/>
        </w:numPr>
      </w:pPr>
      <w:r>
        <w:t>P</w:t>
      </w:r>
      <w:r w:rsidR="00530272">
        <w:t>hase 2</w:t>
      </w:r>
      <w:r>
        <w:t xml:space="preserve"> (Reactive) would be to</w:t>
      </w:r>
      <w:r w:rsidR="00643700">
        <w:t xml:space="preserve"> </w:t>
      </w:r>
      <w:r w:rsidR="00EB1C00">
        <w:t>determine viable options for MFA</w:t>
      </w:r>
      <w:r>
        <w:t xml:space="preserve"> </w:t>
      </w:r>
    </w:p>
    <w:p w:rsidR="00950BF7" w:rsidP="00950BF7" w:rsidRDefault="002C7884" w14:paraId="15947FBD" w14:textId="39AF26E5">
      <w:pPr>
        <w:pStyle w:val="ListParagraph"/>
        <w:numPr>
          <w:ilvl w:val="1"/>
          <w:numId w:val="35"/>
        </w:numPr>
      </w:pPr>
      <w:r>
        <w:t xml:space="preserve">Submit a project plan for </w:t>
      </w:r>
      <w:r w:rsidR="002F7FF9">
        <w:t xml:space="preserve">an </w:t>
      </w:r>
      <w:r w:rsidR="00703FF0">
        <w:t>MFA</w:t>
      </w:r>
      <w:r w:rsidR="002F7FF9">
        <w:t xml:space="preserve"> solution</w:t>
      </w:r>
    </w:p>
    <w:p w:rsidR="00C11791" w:rsidP="00950BF7" w:rsidRDefault="00087DDA" w14:paraId="0F7404B9" w14:textId="4D72D55C">
      <w:pPr>
        <w:pStyle w:val="ListParagraph"/>
        <w:numPr>
          <w:ilvl w:val="1"/>
          <w:numId w:val="35"/>
        </w:numPr>
      </w:pPr>
      <w:r>
        <w:t>Use the policy to define who needs MFA and in what capacity</w:t>
      </w:r>
    </w:p>
    <w:p w:rsidR="00553C3C" w:rsidP="00950BF7" w:rsidRDefault="00553C3C" w14:paraId="49700875" w14:textId="778B58F0">
      <w:pPr>
        <w:pStyle w:val="ListParagraph"/>
        <w:numPr>
          <w:ilvl w:val="1"/>
          <w:numId w:val="35"/>
        </w:numPr>
      </w:pPr>
      <w:r>
        <w:t>Determine if the KISO has a solution</w:t>
      </w:r>
    </w:p>
    <w:p w:rsidR="002F7FF9" w:rsidP="002F7FF9" w:rsidRDefault="002F7FF9" w14:paraId="19D0BB0D" w14:textId="5145F279">
      <w:pPr>
        <w:pStyle w:val="ListParagraph"/>
        <w:numPr>
          <w:ilvl w:val="0"/>
          <w:numId w:val="35"/>
        </w:numPr>
      </w:pPr>
      <w:r>
        <w:t>Phase 3 (Defined)</w:t>
      </w:r>
    </w:p>
    <w:p w:rsidR="00851AED" w:rsidP="00851AED" w:rsidRDefault="002F7FF9" w14:paraId="6D3DAFB2" w14:textId="0527DE66">
      <w:pPr>
        <w:pStyle w:val="ListParagraph"/>
        <w:numPr>
          <w:ilvl w:val="1"/>
          <w:numId w:val="35"/>
        </w:numPr>
      </w:pPr>
      <w:r>
        <w:t>Begin development of operational change documentation</w:t>
      </w:r>
      <w:r w:rsidR="005776EA">
        <w:t xml:space="preserve"> such as </w:t>
      </w:r>
      <w:r w:rsidR="003141E5">
        <w:t xml:space="preserve">end user </w:t>
      </w:r>
      <w:r w:rsidR="005776EA">
        <w:t xml:space="preserve">communication, </w:t>
      </w:r>
      <w:r w:rsidR="00087DDA">
        <w:t xml:space="preserve">procedures for </w:t>
      </w:r>
      <w:r w:rsidR="003141E5">
        <w:t>management</w:t>
      </w:r>
      <w:r w:rsidR="00AE6C88">
        <w:t xml:space="preserve"> and issuance of tokens (if </w:t>
      </w:r>
      <w:r w:rsidR="00677EC8">
        <w:t>that is</w:t>
      </w:r>
      <w:r w:rsidR="00AE6C88">
        <w:t xml:space="preserve"> the mechanism chosen). </w:t>
      </w:r>
    </w:p>
    <w:p w:rsidR="00B93C50" w:rsidP="00B93C50" w:rsidRDefault="00851AED" w14:paraId="7B71802A" w14:textId="3B12EB8C">
      <w:pPr>
        <w:pStyle w:val="ListParagraph"/>
        <w:numPr>
          <w:ilvl w:val="1"/>
          <w:numId w:val="35"/>
        </w:numPr>
      </w:pPr>
      <w:r>
        <w:t>Determine who will monitor for unusual or unauthorized activity</w:t>
      </w:r>
    </w:p>
    <w:p w:rsidR="0020588D" w:rsidP="00C855F1" w:rsidRDefault="00C855F1" w14:paraId="20BE441A" w14:textId="6F57F88D">
      <w:pPr>
        <w:pStyle w:val="ListParagraph"/>
        <w:numPr>
          <w:ilvl w:val="0"/>
          <w:numId w:val="35"/>
        </w:numPr>
      </w:pPr>
      <w:r>
        <w:t>Phase 4 (Managed)</w:t>
      </w:r>
    </w:p>
    <w:p w:rsidR="00C855F1" w:rsidP="00C855F1" w:rsidRDefault="003C6347" w14:paraId="1CE73AB4" w14:textId="0797D7F5">
      <w:pPr>
        <w:pStyle w:val="ListParagraph"/>
        <w:numPr>
          <w:ilvl w:val="1"/>
          <w:numId w:val="35"/>
        </w:numPr>
      </w:pPr>
      <w:r>
        <w:lastRenderedPageBreak/>
        <w:t>Single or</w:t>
      </w:r>
      <w:r w:rsidR="00942BEB">
        <w:t xml:space="preserve"> multiple solutions </w:t>
      </w:r>
      <w:r w:rsidR="00C855F1">
        <w:t>ha</w:t>
      </w:r>
      <w:r w:rsidR="00942BEB">
        <w:t>ve</w:t>
      </w:r>
      <w:r w:rsidR="00C855F1">
        <w:t xml:space="preserve"> been implemented</w:t>
      </w:r>
    </w:p>
    <w:p w:rsidR="00C855F1" w:rsidP="00C855F1" w:rsidRDefault="00C855F1" w14:paraId="7E21A2AD" w14:textId="703486CC">
      <w:pPr>
        <w:pStyle w:val="ListParagraph"/>
        <w:numPr>
          <w:ilvl w:val="1"/>
          <w:numId w:val="35"/>
        </w:numPr>
      </w:pPr>
      <w:r>
        <w:t>Procedures are operationalized</w:t>
      </w:r>
      <w:r w:rsidR="00B93C50">
        <w:t>.</w:t>
      </w:r>
    </w:p>
    <w:p w:rsidR="00E70B70" w:rsidP="00E70B70" w:rsidRDefault="00E94045" w14:paraId="3014FF07" w14:textId="2B12269C">
      <w:pPr>
        <w:pStyle w:val="ListParagraph"/>
        <w:numPr>
          <w:ilvl w:val="1"/>
          <w:numId w:val="35"/>
        </w:numPr>
      </w:pPr>
      <w:r>
        <w:t xml:space="preserve">Routine monitoring </w:t>
      </w:r>
      <w:r w:rsidR="00267A1E">
        <w:t>for unusual or un</w:t>
      </w:r>
      <w:r w:rsidR="00E70B70">
        <w:t>authorized activity is performed.</w:t>
      </w:r>
    </w:p>
    <w:p w:rsidR="007E6C78" w:rsidP="00942BEB" w:rsidRDefault="00E70B70" w14:paraId="37050349" w14:textId="19FA3AB4">
      <w:pPr>
        <w:pStyle w:val="ListParagraph"/>
        <w:numPr>
          <w:ilvl w:val="1"/>
          <w:numId w:val="35"/>
        </w:numPr>
      </w:pPr>
      <w:r>
        <w:t xml:space="preserve">Incident management </w:t>
      </w:r>
      <w:r w:rsidR="00502457">
        <w:t>playbooks are documented for lost or compromised accounts.</w:t>
      </w:r>
    </w:p>
    <w:p w:rsidR="00502457" w:rsidP="00502457" w:rsidRDefault="00502457" w14:paraId="7CF4CC39" w14:textId="5F259ED3">
      <w:pPr>
        <w:pStyle w:val="ListParagraph"/>
        <w:numPr>
          <w:ilvl w:val="0"/>
          <w:numId w:val="35"/>
        </w:numPr>
      </w:pPr>
      <w:r>
        <w:t>Phase 5 (Optimized)</w:t>
      </w:r>
    </w:p>
    <w:p w:rsidR="00502457" w:rsidP="00502457" w:rsidRDefault="003C6347" w14:paraId="414AE695" w14:textId="5D446629">
      <w:pPr>
        <w:pStyle w:val="ListParagraph"/>
        <w:numPr>
          <w:ilvl w:val="1"/>
          <w:numId w:val="35"/>
        </w:numPr>
      </w:pPr>
      <w:r>
        <w:t xml:space="preserve">A central MFA solution is implemented across the </w:t>
      </w:r>
      <w:r w:rsidRPr="00E10D12">
        <w:t>agency</w:t>
      </w:r>
    </w:p>
    <w:p w:rsidR="00D33E14" w:rsidP="00456D55" w:rsidRDefault="00E10D12" w14:paraId="28B1B92E" w14:textId="027BFBBB">
      <w:pPr>
        <w:pStyle w:val="ListParagraph"/>
        <w:numPr>
          <w:ilvl w:val="1"/>
          <w:numId w:val="35"/>
        </w:numPr>
      </w:pPr>
      <w:r>
        <w:t xml:space="preserve">SOAR playbooks automatically lock accounts </w:t>
      </w:r>
      <w:r w:rsidR="00D33E14">
        <w:t>based on behavior triggers</w:t>
      </w:r>
    </w:p>
    <w:p w:rsidR="00E50AAA" w:rsidP="00C87B6A" w:rsidRDefault="005F143A" w14:paraId="60ABE58B" w14:textId="7DC171EB">
      <w:pPr>
        <w:pStyle w:val="Heading1"/>
        <w:jc w:val="center"/>
      </w:pPr>
      <w:r>
        <w:t>Reporting</w:t>
      </w:r>
    </w:p>
    <w:p w:rsidR="00B931B7" w:rsidP="0093710E" w:rsidRDefault="0093710E" w14:paraId="729A3D1B" w14:textId="1DC6EDCF">
      <w:r>
        <w:t xml:space="preserve">Once the project plans have been developed, the </w:t>
      </w:r>
      <w:r w:rsidR="0084005A">
        <w:t xml:space="preserve">results of the assessment and projects need to be tracked and reported to </w:t>
      </w:r>
      <w:r w:rsidR="00A01A77">
        <w:t xml:space="preserve">the agency head.  </w:t>
      </w:r>
      <w:r w:rsidR="00741D4C">
        <w:t xml:space="preserve">If the agency head has not already been added to the Teams channel for the maturity assessment, added them now.  </w:t>
      </w:r>
      <w:r w:rsidR="004D203C">
        <w:t xml:space="preserve">Ideally, since the information is stored in Teams and the agency head has access, they should be able to review the information as needed.  However, that may not be the case.  </w:t>
      </w:r>
      <w:r w:rsidR="00B65DB6">
        <w:t xml:space="preserve">At a minimum, </w:t>
      </w:r>
      <w:r w:rsidR="00CE5496">
        <w:t>ISOs</w:t>
      </w:r>
      <w:r w:rsidR="00B65DB6">
        <w:t xml:space="preserve"> should meet quarterly with the agency head </w:t>
      </w:r>
      <w:r w:rsidR="006A77BE">
        <w:t xml:space="preserve">to review the status of the maturity reports.  </w:t>
      </w:r>
    </w:p>
    <w:p w:rsidRPr="0093710E" w:rsidR="0093710E" w:rsidP="0093710E" w:rsidRDefault="00B931B7" w14:paraId="2C5DC31C" w14:textId="3FE8D256">
      <w:r>
        <w:t xml:space="preserve">Below are the reports </w:t>
      </w:r>
      <w:r w:rsidR="0052123A">
        <w:t xml:space="preserve">to include in the Security </w:t>
      </w:r>
      <w:r w:rsidR="003F04D6">
        <w:t>Program document</w:t>
      </w:r>
      <w:r w:rsidR="00C631FE">
        <w:t xml:space="preserve">.  This is the report </w:t>
      </w:r>
      <w:r w:rsidR="008449D0">
        <w:t xml:space="preserve">ISOs will present to the </w:t>
      </w:r>
      <w:r>
        <w:t>agency head</w:t>
      </w:r>
      <w:r w:rsidR="008449D0">
        <w:t xml:space="preserve"> once the </w:t>
      </w:r>
      <w:r w:rsidR="002B370B">
        <w:t xml:space="preserve">maturity assessment is completed.  The objective of this report is to present to the agency head the </w:t>
      </w:r>
      <w:r w:rsidR="001A1482">
        <w:t xml:space="preserve">findings from the assessment, plans to </w:t>
      </w:r>
      <w:r w:rsidR="00F16DDD">
        <w:t>advance</w:t>
      </w:r>
      <w:r w:rsidR="001A1482">
        <w:t xml:space="preserve"> the</w:t>
      </w:r>
      <w:r w:rsidR="00F16DDD">
        <w:t xml:space="preserve"> maturity of the</w:t>
      </w:r>
      <w:r w:rsidR="001A1482">
        <w:t xml:space="preserve"> security program, and </w:t>
      </w:r>
      <w:r w:rsidR="00F16DDD">
        <w:t xml:space="preserve">gaining </w:t>
      </w:r>
      <w:r w:rsidR="00BC2979">
        <w:t xml:space="preserve">endorsement from the agency head </w:t>
      </w:r>
      <w:r w:rsidR="004B7BCD">
        <w:t>on the direction of the plan</w:t>
      </w:r>
      <w:r w:rsidR="00BC2979">
        <w:t xml:space="preserve">.  </w:t>
      </w:r>
    </w:p>
    <w:p w:rsidR="00F96BCE" w:rsidP="00874C15" w:rsidRDefault="00F16283" w14:paraId="2E7309FE" w14:textId="65CAB3BA">
      <w:pPr>
        <w:pStyle w:val="Heading2"/>
      </w:pPr>
      <w:r>
        <w:t>Execution</w:t>
      </w:r>
    </w:p>
    <w:p w:rsidR="001333D3" w:rsidP="001333D3" w:rsidRDefault="00F201A0" w14:paraId="46B5A96B" w14:textId="23604E50">
      <w:r>
        <w:t xml:space="preserve">The focus of this report is to </w:t>
      </w:r>
      <w:r w:rsidR="00442A09">
        <w:t xml:space="preserve">present to management </w:t>
      </w:r>
      <w:r>
        <w:t>t</w:t>
      </w:r>
      <w:r w:rsidR="00362179">
        <w:t>rack</w:t>
      </w:r>
      <w:r w:rsidR="00442A09">
        <w:t>ing</w:t>
      </w:r>
      <w:r w:rsidR="00362179">
        <w:t xml:space="preserve"> and trending </w:t>
      </w:r>
      <w:r w:rsidR="002A49CD">
        <w:t xml:space="preserve">maturity scoring against the NIST control </w:t>
      </w:r>
      <w:r w:rsidR="00AC1F06">
        <w:t>families</w:t>
      </w:r>
      <w:r w:rsidR="004228CD">
        <w:t xml:space="preserve">. </w:t>
      </w:r>
    </w:p>
    <w:p w:rsidR="00AC1F06" w:rsidP="008F5385" w:rsidRDefault="00AC1F06" w14:paraId="40A92808" w14:textId="5A22720F">
      <w:pPr>
        <w:pStyle w:val="ListParagraph"/>
        <w:numPr>
          <w:ilvl w:val="0"/>
          <w:numId w:val="19"/>
        </w:numPr>
      </w:pPr>
      <w:r w:rsidRPr="00B65E2C">
        <w:rPr>
          <w:b/>
          <w:bCs/>
        </w:rPr>
        <w:t>Start</w:t>
      </w:r>
      <w:r>
        <w:t xml:space="preserve">: </w:t>
      </w:r>
      <w:r w:rsidR="003E61FE">
        <w:t>These scores are populated from the initial assessment</w:t>
      </w:r>
      <w:r w:rsidR="00802162">
        <w:t xml:space="preserve">.  The formula used to populate the information is </w:t>
      </w:r>
      <w:r w:rsidR="00BA62D1">
        <w:t>below</w:t>
      </w:r>
      <w:r w:rsidR="008F5385">
        <w:t xml:space="preserve">.  It is designed to pull the overall average </w:t>
      </w:r>
      <w:r w:rsidR="00460B81">
        <w:t xml:space="preserve">of the maturity score from column Y if the category matches the </w:t>
      </w:r>
      <w:r w:rsidR="00197672">
        <w:t xml:space="preserve">name </w:t>
      </w:r>
      <w:r w:rsidR="008B3929">
        <w:t xml:space="preserve">of the NIST control family in column A. </w:t>
      </w:r>
      <w:r w:rsidR="00D56FB7">
        <w:t xml:space="preserve">The score is rounded to the near single digit.  </w:t>
      </w:r>
      <w:r w:rsidRPr="00BA62D1" w:rsidR="00BA62D1">
        <w:t>IFERROR(MROUND(AVERAGEIFS(SPMA!$Y$2:$Y$1013,SPMAtable[Security Control Family],A3,SPMAtable[Control Origination],"Agency"),1),1)</w:t>
      </w:r>
    </w:p>
    <w:p w:rsidR="00D56FB7" w:rsidP="008F5385" w:rsidRDefault="00D56FB7" w14:paraId="1760399C" w14:textId="767E7E44">
      <w:pPr>
        <w:pStyle w:val="ListParagraph"/>
        <w:numPr>
          <w:ilvl w:val="0"/>
          <w:numId w:val="19"/>
        </w:numPr>
      </w:pPr>
      <w:r w:rsidRPr="00B65E2C">
        <w:rPr>
          <w:b/>
          <w:bCs/>
        </w:rPr>
        <w:t>Previous</w:t>
      </w:r>
      <w:r>
        <w:t xml:space="preserve">:  </w:t>
      </w:r>
      <w:r w:rsidR="001456CF">
        <w:t>This is the</w:t>
      </w:r>
      <w:r w:rsidR="00DE5B12">
        <w:t xml:space="preserve"> maturity score prior to the </w:t>
      </w:r>
      <w:r w:rsidR="00B65E2C">
        <w:t>current</w:t>
      </w:r>
      <w:r w:rsidR="00DE5B12">
        <w:t xml:space="preserve"> review or update.</w:t>
      </w:r>
      <w:r w:rsidR="00B65E2C">
        <w:t xml:space="preserve"> </w:t>
      </w:r>
      <w:r w:rsidR="00DE5B12">
        <w:t xml:space="preserve">This score is modified by the </w:t>
      </w:r>
      <w:r w:rsidR="00061F5E">
        <w:t xml:space="preserve">ISO.  </w:t>
      </w:r>
    </w:p>
    <w:p w:rsidR="00B65E2C" w:rsidP="008F5385" w:rsidRDefault="00B65E2C" w14:paraId="221EFA68" w14:textId="7CAB0296">
      <w:pPr>
        <w:pStyle w:val="ListParagraph"/>
        <w:numPr>
          <w:ilvl w:val="0"/>
          <w:numId w:val="19"/>
        </w:numPr>
      </w:pPr>
      <w:r w:rsidRPr="004A1170">
        <w:rPr>
          <w:b/>
          <w:bCs/>
        </w:rPr>
        <w:t>Current</w:t>
      </w:r>
      <w:r>
        <w:t xml:space="preserve">:  This is the most </w:t>
      </w:r>
      <w:r w:rsidR="004A1170">
        <w:t xml:space="preserve">current maturity score.  This </w:t>
      </w:r>
      <w:r w:rsidR="00877F43">
        <w:t xml:space="preserve">column is also modified by the ISO. </w:t>
      </w:r>
    </w:p>
    <w:p w:rsidR="00877F43" w:rsidP="008F5385" w:rsidRDefault="00877F43" w14:paraId="478F2A21" w14:textId="4BAAC458">
      <w:pPr>
        <w:pStyle w:val="ListParagraph"/>
        <w:numPr>
          <w:ilvl w:val="0"/>
          <w:numId w:val="19"/>
        </w:numPr>
      </w:pPr>
      <w:r>
        <w:rPr>
          <w:b/>
          <w:bCs/>
        </w:rPr>
        <w:t>Trend</w:t>
      </w:r>
      <w:r w:rsidRPr="00877F43">
        <w:t>:</w:t>
      </w:r>
      <w:r>
        <w:t xml:space="preserve"> Trending is intended to provide </w:t>
      </w:r>
      <w:r w:rsidR="00E15412">
        <w:t xml:space="preserve">a quick </w:t>
      </w:r>
      <w:r w:rsidR="006B624C">
        <w:t>reference for management</w:t>
      </w:r>
      <w:r w:rsidR="00F13EF6">
        <w:t xml:space="preserve"> highlighting any positive or negative movements maturity</w:t>
      </w:r>
      <w:r w:rsidR="00803E9C">
        <w:t xml:space="preserve">.  </w:t>
      </w:r>
      <w:r w:rsidR="00B96DC2">
        <w:t xml:space="preserve">Likely this information will be pulled from the POA&amp;M tab. </w:t>
      </w:r>
      <w:r w:rsidR="00F13EF6">
        <w:t xml:space="preserve"> </w:t>
      </w:r>
    </w:p>
    <w:p w:rsidR="003B7760" w:rsidP="003B7760" w:rsidRDefault="003B7760" w14:paraId="3C888386" w14:textId="4C22B001">
      <w:pPr>
        <w:pStyle w:val="Heading2"/>
      </w:pPr>
      <w:r>
        <w:t>Vulnerability Management</w:t>
      </w:r>
    </w:p>
    <w:p w:rsidR="00026783" w:rsidP="008002B3" w:rsidRDefault="00BB3C92" w14:paraId="044A3A3A" w14:textId="77777777">
      <w:r>
        <w:t xml:space="preserve">Included within each agency’s security program are </w:t>
      </w:r>
      <w:r w:rsidR="001432D4">
        <w:t xml:space="preserve">dashboards for reporting </w:t>
      </w:r>
      <w:r w:rsidR="00DC3C76">
        <w:t xml:space="preserve">patch management status.  </w:t>
      </w:r>
      <w:r w:rsidR="00D77E02">
        <w:t xml:space="preserve">These reports are based on the Tenable.sc </w:t>
      </w:r>
      <w:r w:rsidR="00FD0B3C">
        <w:t xml:space="preserve">dashboard </w:t>
      </w:r>
      <w:r w:rsidR="008002B3">
        <w:t>titled, “</w:t>
      </w:r>
      <w:r w:rsidR="00D77E02">
        <w:t xml:space="preserve">Getting Started with </w:t>
      </w:r>
      <w:r w:rsidR="00FD0B3C">
        <w:t>Tenable.sc Using SLA</w:t>
      </w:r>
      <w:r w:rsidR="008002B3">
        <w:t xml:space="preserve">.” </w:t>
      </w:r>
      <w:r w:rsidR="001D065D">
        <w:t xml:space="preserve"> </w:t>
      </w:r>
    </w:p>
    <w:p w:rsidR="00E844AD" w:rsidP="00527AF1" w:rsidRDefault="006B248C" w14:paraId="3203871B" w14:textId="77777777">
      <w:r>
        <w:t xml:space="preserve">The link provided </w:t>
      </w:r>
      <w:r w:rsidR="00E917AB">
        <w:t xml:space="preserve">explains the steps </w:t>
      </w:r>
      <w:r w:rsidR="00F24D15">
        <w:t xml:space="preserve">to </w:t>
      </w:r>
      <w:r>
        <w:t xml:space="preserve">add a template-based dashboard </w:t>
      </w:r>
      <w:r w:rsidR="00021321">
        <w:t>to</w:t>
      </w:r>
      <w:r>
        <w:t xml:space="preserve"> Tenable.sc.</w:t>
      </w:r>
      <w:r w:rsidR="00E917AB">
        <w:t xml:space="preserve"> </w:t>
      </w:r>
      <w:hyperlink w:history="1" r:id="rId12">
        <w:r w:rsidRPr="00B26EF2" w:rsidR="00ED39D2">
          <w:rPr>
            <w:rStyle w:val="Hyperlink"/>
          </w:rPr>
          <w:t>https://docs.tenable.com/tenablesc/Content/AddTemplateDashboard.htm</w:t>
        </w:r>
      </w:hyperlink>
      <w:r w:rsidR="00ED39D2">
        <w:t xml:space="preserve">.  </w:t>
      </w:r>
    </w:p>
    <w:p w:rsidR="00E844AD" w:rsidP="00E844AD" w:rsidRDefault="00A8410F" w14:paraId="422B0777" w14:textId="6C721514">
      <w:pPr>
        <w:pStyle w:val="ListParagraph"/>
        <w:numPr>
          <w:ilvl w:val="0"/>
          <w:numId w:val="37"/>
        </w:numPr>
      </w:pPr>
      <w:r>
        <w:t xml:space="preserve">Once on the </w:t>
      </w:r>
      <w:r w:rsidR="00BC2711">
        <w:t>Dashboard Template page, type</w:t>
      </w:r>
      <w:r w:rsidR="00ED39D2">
        <w:t xml:space="preserve"> </w:t>
      </w:r>
      <w:r w:rsidR="000F7D06">
        <w:t>“Getting Started with Tenable.sc Using SLA</w:t>
      </w:r>
      <w:r w:rsidR="00BC2711">
        <w:t xml:space="preserve">.”  The template should be the top </w:t>
      </w:r>
      <w:r w:rsidR="002A523F">
        <w:t>result. C</w:t>
      </w:r>
      <w:r w:rsidR="000401DE">
        <w:t xml:space="preserve">lick </w:t>
      </w:r>
      <w:r w:rsidR="006A7F90">
        <w:t>on the template</w:t>
      </w:r>
      <w:r w:rsidR="00F842E2">
        <w:t>,</w:t>
      </w:r>
    </w:p>
    <w:p w:rsidR="00E844AD" w:rsidP="00E844AD" w:rsidRDefault="002A523F" w14:paraId="75A3C4E1" w14:textId="5A585DE6">
      <w:pPr>
        <w:pStyle w:val="ListParagraph"/>
        <w:numPr>
          <w:ilvl w:val="0"/>
          <w:numId w:val="37"/>
        </w:numPr>
      </w:pPr>
      <w:r>
        <w:t>Scroll to the bottom of page</w:t>
      </w:r>
      <w:r w:rsidR="0051302B">
        <w:t xml:space="preserve"> and under focus</w:t>
      </w:r>
      <w:r w:rsidR="00F842E2">
        <w:t>,</w:t>
      </w:r>
    </w:p>
    <w:p w:rsidR="00CA3CB8" w:rsidP="00E844AD" w:rsidRDefault="00E844AD" w14:paraId="6F988AC2" w14:textId="58F794F9">
      <w:pPr>
        <w:pStyle w:val="ListParagraph"/>
        <w:numPr>
          <w:ilvl w:val="0"/>
          <w:numId w:val="37"/>
        </w:numPr>
      </w:pPr>
      <w:r>
        <w:t>S</w:t>
      </w:r>
      <w:r w:rsidR="0051302B">
        <w:t>elect the targets in scop</w:t>
      </w:r>
      <w:r w:rsidR="00B278E9">
        <w:t>e</w:t>
      </w:r>
      <w:r w:rsidR="00AA1B52">
        <w:t xml:space="preserve"> according to the repository</w:t>
      </w:r>
      <w:r w:rsidR="00B278E9">
        <w:t xml:space="preserve">, </w:t>
      </w:r>
      <w:r w:rsidR="008B0E18">
        <w:t xml:space="preserve">(workstations, servers, </w:t>
      </w:r>
      <w:r w:rsidR="00AA1B52">
        <w:t>agents)</w:t>
      </w:r>
    </w:p>
    <w:p w:rsidR="00E844AD" w:rsidP="00E844AD" w:rsidRDefault="00CA3CB8" w14:paraId="509A47BB" w14:textId="0B171873">
      <w:pPr>
        <w:pStyle w:val="ListParagraph"/>
        <w:numPr>
          <w:ilvl w:val="0"/>
          <w:numId w:val="37"/>
        </w:numPr>
      </w:pPr>
      <w:r>
        <w:t>C</w:t>
      </w:r>
      <w:r w:rsidR="00B278E9">
        <w:t>lick “Add</w:t>
      </w:r>
      <w:r w:rsidR="00F842E2">
        <w:t>.</w:t>
      </w:r>
      <w:r w:rsidR="00B278E9">
        <w:t xml:space="preserve">” </w:t>
      </w:r>
    </w:p>
    <w:p w:rsidR="00F842E2" w:rsidP="00CA3CB8" w:rsidRDefault="00CA3CB8" w14:paraId="16390F57" w14:textId="77777777">
      <w:r>
        <w:t xml:space="preserve">The dashboard will need to be modified </w:t>
      </w:r>
      <w:r w:rsidR="004B0A7E">
        <w:t>in order to</w:t>
      </w:r>
      <w:r w:rsidR="00F842E2">
        <w:t xml:space="preserve"> produce the appropriately sized dashboards. </w:t>
      </w:r>
    </w:p>
    <w:p w:rsidR="00F842E2" w:rsidP="00F842E2" w:rsidRDefault="00F842E2" w14:paraId="0921BF86" w14:textId="77777777">
      <w:pPr>
        <w:pStyle w:val="ListParagraph"/>
        <w:numPr>
          <w:ilvl w:val="0"/>
          <w:numId w:val="39"/>
        </w:numPr>
      </w:pPr>
      <w:r>
        <w:t>C</w:t>
      </w:r>
      <w:r w:rsidR="00CA3CB8">
        <w:t xml:space="preserve">lick on </w:t>
      </w:r>
      <w:r w:rsidR="00CA3CB8">
        <w:t xml:space="preserve">In the upper-right corner of the page, </w:t>
      </w:r>
    </w:p>
    <w:p w:rsidR="00CA3CB8" w:rsidP="00F842E2" w:rsidRDefault="00F842E2" w14:paraId="62B08232" w14:textId="10A91605">
      <w:pPr>
        <w:pStyle w:val="ListParagraph"/>
        <w:numPr>
          <w:ilvl w:val="0"/>
          <w:numId w:val="39"/>
        </w:numPr>
      </w:pPr>
      <w:r>
        <w:t>C</w:t>
      </w:r>
      <w:r w:rsidR="00CA3CB8">
        <w:t>lick the Options drop-down button</w:t>
      </w:r>
      <w:r>
        <w:t>,</w:t>
      </w:r>
    </w:p>
    <w:p w:rsidR="00CA3CB8" w:rsidP="00CA3CB8" w:rsidRDefault="00CA3CB8" w14:paraId="287FA8C8" w14:textId="41BE824D">
      <w:pPr>
        <w:pStyle w:val="ListParagraph"/>
        <w:numPr>
          <w:ilvl w:val="0"/>
          <w:numId w:val="39"/>
        </w:numPr>
      </w:pPr>
      <w:r>
        <w:t>Click Manage Dashboards</w:t>
      </w:r>
      <w:r w:rsidR="00F842E2">
        <w:t>,</w:t>
      </w:r>
    </w:p>
    <w:p w:rsidR="00247252" w:rsidP="00CA3CB8" w:rsidRDefault="00523326" w14:paraId="18BAE699" w14:textId="79058D50">
      <w:pPr>
        <w:pStyle w:val="ListParagraph"/>
        <w:numPr>
          <w:ilvl w:val="0"/>
          <w:numId w:val="39"/>
        </w:numPr>
      </w:pPr>
      <w:r>
        <w:lastRenderedPageBreak/>
        <w:t xml:space="preserve">Click </w:t>
      </w:r>
      <w:r w:rsidR="00247252">
        <w:t>the</w:t>
      </w:r>
      <w:r>
        <w:t xml:space="preserve"> box next to the</w:t>
      </w:r>
      <w:r w:rsidR="00247252">
        <w:t xml:space="preserve"> “Getting Started with Tenable.sc Using SLA” dashboard</w:t>
      </w:r>
    </w:p>
    <w:p w:rsidR="00523326" w:rsidP="00CA3CB8" w:rsidRDefault="0027325B" w14:paraId="771723F0" w14:textId="0026A94D">
      <w:pPr>
        <w:pStyle w:val="ListParagraph"/>
        <w:numPr>
          <w:ilvl w:val="0"/>
          <w:numId w:val="39"/>
        </w:numPr>
      </w:pPr>
      <w:r>
        <w:t>Select the More drop-down,</w:t>
      </w:r>
    </w:p>
    <w:p w:rsidR="0027325B" w:rsidP="00CA3CB8" w:rsidRDefault="0027325B" w14:paraId="4A5F3B5E" w14:textId="32B6ED5D">
      <w:pPr>
        <w:pStyle w:val="ListParagraph"/>
        <w:numPr>
          <w:ilvl w:val="0"/>
          <w:numId w:val="39"/>
        </w:numPr>
      </w:pPr>
      <w:r>
        <w:t xml:space="preserve">Click the “Edit” button. </w:t>
      </w:r>
    </w:p>
    <w:p w:rsidR="009B023F" w:rsidP="00CA3CB8" w:rsidRDefault="00456208" w14:paraId="5893081D" w14:textId="47FDDACB">
      <w:pPr>
        <w:pStyle w:val="ListParagraph"/>
        <w:numPr>
          <w:ilvl w:val="0"/>
          <w:numId w:val="39"/>
        </w:numPr>
      </w:pPr>
      <w:r>
        <w:t>R</w:t>
      </w:r>
      <w:r w:rsidR="000616A8">
        <w:t xml:space="preserve">ename the dashboard to </w:t>
      </w:r>
      <w:r w:rsidR="00A80737">
        <w:t>“</w:t>
      </w:r>
      <w:r w:rsidR="000616A8">
        <w:t>Patching-SLA</w:t>
      </w:r>
      <w:r w:rsidR="00A80737">
        <w:t>” -</w:t>
      </w:r>
      <w:r w:rsidR="009F7C32">
        <w:t xml:space="preserve"> Repository (example Patching-SLA DofA</w:t>
      </w:r>
      <w:r w:rsidR="008B0E18">
        <w:t xml:space="preserve"> Nessus Agents)  </w:t>
      </w:r>
    </w:p>
    <w:p w:rsidR="00B9066C" w:rsidP="00CA3CB8" w:rsidRDefault="00B9066C" w14:paraId="396039D6" w14:textId="61E63BDA">
      <w:pPr>
        <w:pStyle w:val="ListParagraph"/>
        <w:numPr>
          <w:ilvl w:val="0"/>
          <w:numId w:val="39"/>
        </w:numPr>
      </w:pPr>
      <w:r>
        <w:t xml:space="preserve">Change the layout to the </w:t>
      </w:r>
      <w:r w:rsidR="009B023F">
        <w:t>two-column option (</w:t>
      </w:r>
      <w:r>
        <w:t>second option from the left</w:t>
      </w:r>
      <w:r w:rsidR="009B023F">
        <w:t>).</w:t>
      </w:r>
    </w:p>
    <w:p w:rsidR="009B023F" w:rsidP="00CA3CB8" w:rsidRDefault="009B023F" w14:paraId="2C5BA2FF" w14:textId="67C0C686">
      <w:pPr>
        <w:pStyle w:val="ListParagraph"/>
        <w:numPr>
          <w:ilvl w:val="0"/>
          <w:numId w:val="39"/>
        </w:numPr>
      </w:pPr>
      <w:r>
        <w:t>Submit</w:t>
      </w:r>
    </w:p>
    <w:p w:rsidR="0083175F" w:rsidP="0083175F" w:rsidRDefault="0083175F" w14:paraId="00300A46" w14:textId="3A78220D">
      <w:r>
        <w:t xml:space="preserve">Add the following dashboards to the Security Program.  </w:t>
      </w:r>
      <w:r w:rsidR="000516EE">
        <w:t xml:space="preserve">These will be updated and presented to management on a quarterly basis.  </w:t>
      </w:r>
    </w:p>
    <w:p w:rsidR="000516EE" w:rsidP="00975AF0" w:rsidRDefault="00975AF0" w14:paraId="18AD3A32" w14:textId="10339F13">
      <w:pPr>
        <w:pStyle w:val="ListParagraph"/>
        <w:numPr>
          <w:ilvl w:val="0"/>
          <w:numId w:val="40"/>
        </w:numPr>
      </w:pPr>
      <w:r>
        <w:t>Vulnerability Summary – 3-Month Trend of Vulnerabilities</w:t>
      </w:r>
    </w:p>
    <w:p w:rsidR="00975AF0" w:rsidP="00975AF0" w:rsidRDefault="004C1451" w14:paraId="248FDA57" w14:textId="0F5F383A">
      <w:pPr>
        <w:pStyle w:val="ListParagraph"/>
        <w:numPr>
          <w:ilvl w:val="0"/>
          <w:numId w:val="40"/>
        </w:numPr>
      </w:pPr>
      <w:r>
        <w:t>SLA Progress-Unmitigated Vulnerabilities</w:t>
      </w:r>
    </w:p>
    <w:p w:rsidR="004C1451" w:rsidP="00975AF0" w:rsidRDefault="00960C7D" w14:paraId="484C90D4" w14:textId="3D41F59D">
      <w:pPr>
        <w:pStyle w:val="ListParagraph"/>
        <w:numPr>
          <w:ilvl w:val="0"/>
          <w:numId w:val="40"/>
        </w:numPr>
      </w:pPr>
      <w:r>
        <w:t>SLA Progress-Mitigat</w:t>
      </w:r>
      <w:r w:rsidR="0000218D">
        <w:t>ed Vulnerabilities (Last 365 days)</w:t>
      </w:r>
    </w:p>
    <w:p w:rsidR="008939A6" w:rsidP="00975AF0" w:rsidRDefault="008939A6" w14:paraId="20D9C0A3" w14:textId="2CD975A8">
      <w:pPr>
        <w:pStyle w:val="ListParagraph"/>
        <w:numPr>
          <w:ilvl w:val="0"/>
          <w:numId w:val="40"/>
        </w:numPr>
      </w:pPr>
      <w:r>
        <w:t>Track Mitigation Progress-Vulnerability Summary by Severity</w:t>
      </w:r>
    </w:p>
    <w:p w:rsidR="00ED39D2" w:rsidP="00CA3CB8" w:rsidRDefault="00ED39D2" w14:paraId="5A191072" w14:textId="3F17C197"/>
    <w:p w:rsidR="00797905" w:rsidP="00797905" w:rsidRDefault="00797905" w14:paraId="1B46EEA8" w14:textId="4A6410FA">
      <w:pPr>
        <w:pStyle w:val="ListParagraph"/>
        <w:numPr>
          <w:ilvl w:val="0"/>
          <w:numId w:val="38"/>
        </w:numPr>
        <w:sectPr w:rsidR="00797905" w:rsidSect="00E62D5A">
          <w:pgSz w:w="12240" w:h="15840" w:orient="portrait" w:code="1"/>
          <w:pgMar w:top="720" w:right="720" w:bottom="720" w:left="720" w:header="720" w:footer="720" w:gutter="0"/>
          <w:cols w:space="720"/>
          <w:docGrid w:linePitch="360"/>
        </w:sectPr>
      </w:pPr>
    </w:p>
    <w:p w:rsidR="001D3FFA" w:rsidP="00435159" w:rsidRDefault="001D3FFA" w14:paraId="41190164" w14:textId="481CB1D8">
      <w:pPr>
        <w:pStyle w:val="Heading3"/>
        <w:jc w:val="center"/>
      </w:pPr>
      <w:r>
        <w:lastRenderedPageBreak/>
        <w:t>Appendix A.</w:t>
      </w:r>
    </w:p>
    <w:tbl>
      <w:tblPr>
        <w:tblStyle w:val="TableGrid"/>
        <w:tblpPr w:leftFromText="180" w:rightFromText="180" w:vertAnchor="text" w:tblpX="-77" w:tblpY="190"/>
        <w:tblW w:w="12955" w:type="dxa"/>
        <w:tblLook w:val="04A0" w:firstRow="1" w:lastRow="0" w:firstColumn="1" w:lastColumn="0" w:noHBand="0" w:noVBand="1"/>
      </w:tblPr>
      <w:tblGrid>
        <w:gridCol w:w="766"/>
        <w:gridCol w:w="1451"/>
        <w:gridCol w:w="4978"/>
        <w:gridCol w:w="5760"/>
      </w:tblGrid>
      <w:tr w:rsidR="00753939" w:rsidTr="00543E94" w14:paraId="668610C1" w14:textId="513873F2">
        <w:tc>
          <w:tcPr>
            <w:tcW w:w="766" w:type="dxa"/>
            <w:shd w:val="clear" w:color="auto" w:fill="A6A6A6" w:themeFill="background1" w:themeFillShade="A6"/>
          </w:tcPr>
          <w:p w:rsidRPr="00232FCA" w:rsidR="00753939" w:rsidP="00195578" w:rsidRDefault="00753939" w14:paraId="2CE51A2B" w14:textId="77777777">
            <w:pPr>
              <w:spacing w:after="160" w:line="276" w:lineRule="auto"/>
              <w:jc w:val="center"/>
              <w:rPr>
                <w:b/>
                <w:bCs/>
              </w:rPr>
            </w:pPr>
            <w:r w:rsidRPr="00232FCA">
              <w:rPr>
                <w:b/>
                <w:bCs/>
              </w:rPr>
              <w:t>Score</w:t>
            </w:r>
          </w:p>
        </w:tc>
        <w:tc>
          <w:tcPr>
            <w:tcW w:w="1451" w:type="dxa"/>
            <w:shd w:val="clear" w:color="auto" w:fill="A6A6A6" w:themeFill="background1" w:themeFillShade="A6"/>
          </w:tcPr>
          <w:p w:rsidRPr="00232FCA" w:rsidR="00753939" w:rsidP="00195578" w:rsidRDefault="00753939" w14:paraId="6C29A34F" w14:textId="77777777">
            <w:pPr>
              <w:spacing w:after="160" w:line="276" w:lineRule="auto"/>
              <w:jc w:val="center"/>
              <w:rPr>
                <w:b/>
                <w:bCs/>
              </w:rPr>
            </w:pPr>
            <w:r>
              <w:rPr>
                <w:b/>
                <w:bCs/>
              </w:rPr>
              <w:t xml:space="preserve">Maturity </w:t>
            </w:r>
            <w:r w:rsidRPr="00232FCA">
              <w:rPr>
                <w:b/>
                <w:bCs/>
              </w:rPr>
              <w:t>Level</w:t>
            </w:r>
          </w:p>
        </w:tc>
        <w:tc>
          <w:tcPr>
            <w:tcW w:w="4978" w:type="dxa"/>
            <w:shd w:val="clear" w:color="auto" w:fill="A6A6A6" w:themeFill="background1" w:themeFillShade="A6"/>
          </w:tcPr>
          <w:p w:rsidRPr="00232FCA" w:rsidR="00753939" w:rsidP="00195578" w:rsidRDefault="00753939" w14:paraId="146AF6AD" w14:textId="77777777">
            <w:pPr>
              <w:spacing w:after="160" w:line="276" w:lineRule="auto"/>
              <w:rPr>
                <w:b/>
                <w:bCs/>
              </w:rPr>
            </w:pPr>
            <w:r w:rsidRPr="00232FCA">
              <w:rPr>
                <w:b/>
                <w:bCs/>
              </w:rPr>
              <w:t>Description</w:t>
            </w:r>
          </w:p>
        </w:tc>
        <w:tc>
          <w:tcPr>
            <w:tcW w:w="5760" w:type="dxa"/>
            <w:shd w:val="clear" w:color="auto" w:fill="A6A6A6" w:themeFill="background1" w:themeFillShade="A6"/>
          </w:tcPr>
          <w:p w:rsidRPr="00232FCA" w:rsidR="00753939" w:rsidP="00195578" w:rsidRDefault="00753939" w14:paraId="7DC4E580" w14:textId="314E65E4">
            <w:pPr>
              <w:spacing w:line="276" w:lineRule="auto"/>
              <w:rPr>
                <w:b/>
                <w:bCs/>
              </w:rPr>
            </w:pPr>
            <w:r>
              <w:rPr>
                <w:b/>
                <w:bCs/>
              </w:rPr>
              <w:t>Examples</w:t>
            </w:r>
          </w:p>
        </w:tc>
      </w:tr>
      <w:tr w:rsidR="00753939" w:rsidTr="00543E94" w14:paraId="577B4A3B" w14:textId="55CA9D65">
        <w:trPr>
          <w:trHeight w:val="720"/>
        </w:trPr>
        <w:tc>
          <w:tcPr>
            <w:tcW w:w="766" w:type="dxa"/>
            <w:shd w:val="clear" w:color="auto" w:fill="C00000"/>
          </w:tcPr>
          <w:p w:rsidR="00753939" w:rsidP="00195578" w:rsidRDefault="00753939" w14:paraId="403DA803" w14:textId="77777777">
            <w:pPr>
              <w:spacing w:after="160" w:line="276" w:lineRule="auto"/>
              <w:jc w:val="center"/>
            </w:pPr>
            <w:r>
              <w:t>1</w:t>
            </w:r>
          </w:p>
        </w:tc>
        <w:tc>
          <w:tcPr>
            <w:tcW w:w="1451" w:type="dxa"/>
            <w:shd w:val="clear" w:color="auto" w:fill="C00000"/>
          </w:tcPr>
          <w:p w:rsidR="00753939" w:rsidP="00195578" w:rsidRDefault="00753939" w14:paraId="18634426" w14:textId="41E8A79D">
            <w:pPr>
              <w:spacing w:after="160" w:line="276" w:lineRule="auto"/>
              <w:jc w:val="center"/>
            </w:pPr>
            <w:r>
              <w:t>Initial</w:t>
            </w:r>
          </w:p>
        </w:tc>
        <w:tc>
          <w:tcPr>
            <w:tcW w:w="4978" w:type="dxa"/>
          </w:tcPr>
          <w:p w:rsidR="00753939" w:rsidP="00195578" w:rsidRDefault="000038F7" w14:paraId="333A1D1A" w14:textId="11369B91">
            <w:pPr>
              <w:spacing w:after="160" w:line="276" w:lineRule="auto"/>
            </w:pPr>
            <w:r>
              <w:t xml:space="preserve">Individuals do it, but it is defined mainly on tribal knowledge and answers will vary between teammates, department, or business units. </w:t>
            </w:r>
            <w:r w:rsidR="00AB6200">
              <w:t xml:space="preserve"> </w:t>
            </w:r>
          </w:p>
        </w:tc>
        <w:tc>
          <w:tcPr>
            <w:tcW w:w="5760" w:type="dxa"/>
          </w:tcPr>
          <w:p w:rsidR="00753939" w:rsidP="00543E94" w:rsidRDefault="006B6060" w14:paraId="590520F4" w14:textId="102BFDB5">
            <w:pPr>
              <w:pStyle w:val="ListParagraph"/>
              <w:numPr>
                <w:ilvl w:val="0"/>
                <w:numId w:val="23"/>
              </w:numPr>
              <w:spacing w:line="276" w:lineRule="auto"/>
            </w:pPr>
            <w:r>
              <w:t>No policies, general processes are word of mouth.</w:t>
            </w:r>
          </w:p>
        </w:tc>
      </w:tr>
      <w:tr w:rsidR="00753939" w:rsidTr="00543E94" w14:paraId="580590E3" w14:textId="25CB4179">
        <w:trPr>
          <w:trHeight w:val="720"/>
        </w:trPr>
        <w:tc>
          <w:tcPr>
            <w:tcW w:w="766" w:type="dxa"/>
            <w:shd w:val="clear" w:color="auto" w:fill="FFC000"/>
          </w:tcPr>
          <w:p w:rsidR="00753939" w:rsidP="00195578" w:rsidRDefault="00753939" w14:paraId="2FDBA6D5" w14:textId="77777777">
            <w:pPr>
              <w:spacing w:after="160" w:line="276" w:lineRule="auto"/>
              <w:jc w:val="center"/>
            </w:pPr>
            <w:r>
              <w:t>2</w:t>
            </w:r>
          </w:p>
        </w:tc>
        <w:tc>
          <w:tcPr>
            <w:tcW w:w="1451" w:type="dxa"/>
            <w:shd w:val="clear" w:color="auto" w:fill="FFC000"/>
          </w:tcPr>
          <w:p w:rsidR="00753939" w:rsidP="00195578" w:rsidRDefault="00753939" w14:paraId="189BF45A" w14:textId="04B6D1D5">
            <w:pPr>
              <w:spacing w:after="160" w:line="276" w:lineRule="auto"/>
              <w:jc w:val="center"/>
            </w:pPr>
            <w:r>
              <w:t>Reactive</w:t>
            </w:r>
          </w:p>
        </w:tc>
        <w:tc>
          <w:tcPr>
            <w:tcW w:w="4978" w:type="dxa"/>
          </w:tcPr>
          <w:p w:rsidR="00753939" w:rsidP="00195578" w:rsidRDefault="000038F7" w14:paraId="31F9D24D" w14:textId="44F75FF5">
            <w:pPr>
              <w:spacing w:after="160" w:line="276" w:lineRule="auto"/>
            </w:pPr>
            <w:r>
              <w:t>An owner has been identified some documentation exists but there is a lack of formal documentation.</w:t>
            </w:r>
          </w:p>
        </w:tc>
        <w:tc>
          <w:tcPr>
            <w:tcW w:w="5760" w:type="dxa"/>
          </w:tcPr>
          <w:p w:rsidR="00A55F6F" w:rsidP="00543E94" w:rsidRDefault="001B31B4" w14:paraId="48A841CB" w14:textId="77777777">
            <w:pPr>
              <w:pStyle w:val="ListParagraph"/>
              <w:numPr>
                <w:ilvl w:val="0"/>
                <w:numId w:val="22"/>
              </w:numPr>
              <w:spacing w:line="276" w:lineRule="auto"/>
            </w:pPr>
            <w:r>
              <w:t xml:space="preserve">Manual adjustment to user permissions in systems.  </w:t>
            </w:r>
          </w:p>
          <w:p w:rsidR="00543E94" w:rsidP="00543E94" w:rsidRDefault="00E53A2F" w14:paraId="0485F16B" w14:textId="657B5CE9">
            <w:pPr>
              <w:pStyle w:val="ListParagraph"/>
              <w:numPr>
                <w:ilvl w:val="0"/>
                <w:numId w:val="22"/>
              </w:numPr>
              <w:spacing w:line="276" w:lineRule="auto"/>
            </w:pPr>
            <w:r>
              <w:t xml:space="preserve">No annual security training and if it is provided, it is old and outdated.  </w:t>
            </w:r>
          </w:p>
          <w:p w:rsidR="00643700" w:rsidP="00543E94" w:rsidRDefault="00D41018" w14:paraId="78BFDAEA" w14:textId="77777777">
            <w:pPr>
              <w:pStyle w:val="ListParagraph"/>
              <w:numPr>
                <w:ilvl w:val="0"/>
                <w:numId w:val="22"/>
              </w:numPr>
              <w:spacing w:line="276" w:lineRule="auto"/>
            </w:pPr>
            <w:r>
              <w:t>Risk</w:t>
            </w:r>
            <w:r w:rsidR="002F4848">
              <w:t xml:space="preserve"> and security</w:t>
            </w:r>
            <w:r>
              <w:t xml:space="preserve"> assessments are not conducted for systems</w:t>
            </w:r>
            <w:r w:rsidR="002F4848">
              <w:t xml:space="preserve">.  </w:t>
            </w:r>
          </w:p>
          <w:p w:rsidR="00543E94" w:rsidP="00543E94" w:rsidRDefault="008E562C" w14:paraId="76561AD7" w14:textId="32476A25">
            <w:pPr>
              <w:pStyle w:val="ListParagraph"/>
              <w:numPr>
                <w:ilvl w:val="0"/>
                <w:numId w:val="22"/>
              </w:numPr>
              <w:spacing w:line="276" w:lineRule="auto"/>
            </w:pPr>
            <w:r>
              <w:t>Most roles are undefined.</w:t>
            </w:r>
            <w:r w:rsidR="00450EDB">
              <w:t xml:space="preserve"> </w:t>
            </w:r>
          </w:p>
          <w:p w:rsidR="00543E94" w:rsidP="00543E94" w:rsidRDefault="00A16629" w14:paraId="0EA8ACCC" w14:textId="77777777">
            <w:pPr>
              <w:pStyle w:val="ListParagraph"/>
              <w:numPr>
                <w:ilvl w:val="0"/>
                <w:numId w:val="22"/>
              </w:numPr>
              <w:spacing w:line="276" w:lineRule="auto"/>
            </w:pPr>
            <w:r>
              <w:t xml:space="preserve">Tools like firewalls and antivirus </w:t>
            </w:r>
            <w:r w:rsidR="006C1355">
              <w:t>are installed</w:t>
            </w:r>
            <w:r w:rsidR="0092523B">
              <w:t xml:space="preserve"> and managed but by a single individual</w:t>
            </w:r>
            <w:r w:rsidR="006F52AB">
              <w:t xml:space="preserve"> without a backup. </w:t>
            </w:r>
          </w:p>
          <w:p w:rsidR="00753939" w:rsidP="00543E94" w:rsidRDefault="006D39DC" w14:paraId="019B73C9" w14:textId="60509673">
            <w:pPr>
              <w:pStyle w:val="ListParagraph"/>
              <w:numPr>
                <w:ilvl w:val="0"/>
                <w:numId w:val="22"/>
              </w:numPr>
              <w:spacing w:line="276" w:lineRule="auto"/>
            </w:pPr>
            <w:r>
              <w:t>Unsupported operating systems exposed to the internet</w:t>
            </w:r>
          </w:p>
        </w:tc>
      </w:tr>
      <w:tr w:rsidR="00753939" w:rsidTr="00543E94" w14:paraId="69612913" w14:textId="1077DEE3">
        <w:trPr>
          <w:trHeight w:val="720"/>
        </w:trPr>
        <w:tc>
          <w:tcPr>
            <w:tcW w:w="766" w:type="dxa"/>
            <w:shd w:val="clear" w:color="auto" w:fill="FFFF00"/>
          </w:tcPr>
          <w:p w:rsidR="00753939" w:rsidP="00195578" w:rsidRDefault="00753939" w14:paraId="68944827" w14:textId="77777777">
            <w:pPr>
              <w:spacing w:after="160" w:line="276" w:lineRule="auto"/>
              <w:jc w:val="center"/>
            </w:pPr>
            <w:r>
              <w:t>3</w:t>
            </w:r>
          </w:p>
        </w:tc>
        <w:tc>
          <w:tcPr>
            <w:tcW w:w="1451" w:type="dxa"/>
            <w:shd w:val="clear" w:color="auto" w:fill="FFFF00"/>
          </w:tcPr>
          <w:p w:rsidR="00753939" w:rsidP="00195578" w:rsidRDefault="00753939" w14:paraId="1BA0EB65" w14:textId="2EB7D57A">
            <w:pPr>
              <w:spacing w:after="160" w:line="276" w:lineRule="auto"/>
              <w:jc w:val="center"/>
            </w:pPr>
            <w:r>
              <w:t>Defined</w:t>
            </w:r>
          </w:p>
        </w:tc>
        <w:tc>
          <w:tcPr>
            <w:tcW w:w="4978" w:type="dxa"/>
          </w:tcPr>
          <w:p w:rsidR="00753939" w:rsidP="00195578" w:rsidRDefault="007A2E8C" w14:paraId="07733266" w14:textId="7FC1B003">
            <w:pPr>
              <w:spacing w:after="160" w:line="276" w:lineRule="auto"/>
            </w:pPr>
            <w:r>
              <w:t xml:space="preserve">An owner is identified and held accountable for the area; formalized policies and procedures exist. </w:t>
            </w:r>
            <w:r w:rsidR="00753939">
              <w:t xml:space="preserve">   </w:t>
            </w:r>
          </w:p>
        </w:tc>
        <w:tc>
          <w:tcPr>
            <w:tcW w:w="5760" w:type="dxa"/>
          </w:tcPr>
          <w:p w:rsidR="00543E94" w:rsidP="00543E94" w:rsidRDefault="00764C80" w14:paraId="7A9F228D" w14:textId="77777777">
            <w:pPr>
              <w:pStyle w:val="ListParagraph"/>
              <w:numPr>
                <w:ilvl w:val="0"/>
                <w:numId w:val="24"/>
              </w:numPr>
              <w:spacing w:line="276" w:lineRule="auto"/>
            </w:pPr>
            <w:r>
              <w:t>Security tools in place such as a SIEM, MFA, vulnerability scanning tools, full disk encryption</w:t>
            </w:r>
            <w:r w:rsidR="0042508C">
              <w:t xml:space="preserve">, and IDS/IPS. </w:t>
            </w:r>
          </w:p>
          <w:p w:rsidR="00543E94" w:rsidP="00543E94" w:rsidRDefault="00F855FC" w14:paraId="269D6B8E" w14:textId="77777777">
            <w:pPr>
              <w:pStyle w:val="ListParagraph"/>
              <w:numPr>
                <w:ilvl w:val="0"/>
                <w:numId w:val="24"/>
              </w:numPr>
              <w:spacing w:line="276" w:lineRule="auto"/>
            </w:pPr>
            <w:r>
              <w:t>Role Based Access is enforced and there is a de</w:t>
            </w:r>
            <w:r w:rsidR="00C52308">
              <w:t xml:space="preserve">fined process for adding and removing permissions. </w:t>
            </w:r>
          </w:p>
          <w:p w:rsidR="00753939" w:rsidP="00543E94" w:rsidRDefault="007C480F" w14:paraId="61AE552C" w14:textId="45FD6F23">
            <w:pPr>
              <w:pStyle w:val="ListParagraph"/>
              <w:numPr>
                <w:ilvl w:val="0"/>
                <w:numId w:val="24"/>
              </w:numPr>
              <w:spacing w:line="276" w:lineRule="auto"/>
            </w:pPr>
            <w:r>
              <w:t xml:space="preserve">Security and risk assessments are based on Microsoft products like </w:t>
            </w:r>
            <w:r w:rsidR="00AB270A">
              <w:t xml:space="preserve">spreadsheets and word documents. </w:t>
            </w:r>
            <w:r w:rsidR="009A378D">
              <w:t xml:space="preserve"> </w:t>
            </w:r>
          </w:p>
        </w:tc>
      </w:tr>
      <w:tr w:rsidR="00753939" w:rsidTr="00543E94" w14:paraId="75821646" w14:textId="2FBBB196">
        <w:trPr>
          <w:trHeight w:val="720"/>
        </w:trPr>
        <w:tc>
          <w:tcPr>
            <w:tcW w:w="766" w:type="dxa"/>
            <w:shd w:val="clear" w:color="auto" w:fill="92D050"/>
          </w:tcPr>
          <w:p w:rsidR="00753939" w:rsidP="00195578" w:rsidRDefault="00753939" w14:paraId="4F71BCAE" w14:textId="77777777">
            <w:pPr>
              <w:spacing w:after="160" w:line="276" w:lineRule="auto"/>
              <w:jc w:val="center"/>
            </w:pPr>
            <w:r>
              <w:t>4</w:t>
            </w:r>
          </w:p>
        </w:tc>
        <w:tc>
          <w:tcPr>
            <w:tcW w:w="1451" w:type="dxa"/>
            <w:shd w:val="clear" w:color="auto" w:fill="92D050"/>
          </w:tcPr>
          <w:p w:rsidR="00753939" w:rsidP="00195578" w:rsidRDefault="00753939" w14:paraId="596045F0" w14:textId="33EDDA81">
            <w:pPr>
              <w:spacing w:after="160" w:line="276" w:lineRule="auto"/>
              <w:jc w:val="center"/>
            </w:pPr>
            <w:r>
              <w:t>Managed</w:t>
            </w:r>
          </w:p>
        </w:tc>
        <w:tc>
          <w:tcPr>
            <w:tcW w:w="4978" w:type="dxa"/>
          </w:tcPr>
          <w:p w:rsidR="00753939" w:rsidP="00195578" w:rsidRDefault="006A35AF" w14:paraId="5D67E326" w14:textId="6B464938">
            <w:pPr>
              <w:spacing w:after="160" w:line="276" w:lineRule="auto"/>
            </w:pPr>
            <w:r>
              <w:t xml:space="preserve">Meets the maturity level of Defined </w:t>
            </w:r>
            <w:r w:rsidR="004D05FF">
              <w:t xml:space="preserve">and is either audited by management or third parties with consistent </w:t>
            </w:r>
            <w:r w:rsidR="00C14BDE">
              <w:t xml:space="preserve">positive </w:t>
            </w:r>
            <w:r w:rsidR="004D05FF">
              <w:t>results</w:t>
            </w:r>
            <w:r w:rsidR="00C14BDE">
              <w:t xml:space="preserve">.  </w:t>
            </w:r>
            <w:r w:rsidR="00C9029C">
              <w:t xml:space="preserve"> Controls are largely automated. </w:t>
            </w:r>
          </w:p>
        </w:tc>
        <w:tc>
          <w:tcPr>
            <w:tcW w:w="5760" w:type="dxa"/>
          </w:tcPr>
          <w:p w:rsidR="00177F52" w:rsidP="00177F52" w:rsidRDefault="00765846" w14:paraId="228A457C" w14:textId="77777777">
            <w:pPr>
              <w:pStyle w:val="ListParagraph"/>
              <w:numPr>
                <w:ilvl w:val="0"/>
                <w:numId w:val="25"/>
              </w:numPr>
              <w:spacing w:line="276" w:lineRule="auto"/>
            </w:pPr>
            <w:r>
              <w:t xml:space="preserve">Policy compliance </w:t>
            </w:r>
            <w:r w:rsidR="00491124">
              <w:t xml:space="preserve">reports are </w:t>
            </w:r>
            <w:r w:rsidR="0072027D">
              <w:t xml:space="preserve">produced and reported to management regularly.  </w:t>
            </w:r>
          </w:p>
          <w:p w:rsidR="00177F52" w:rsidP="00177F52" w:rsidRDefault="00D14FD6" w14:paraId="4B8C3A60" w14:textId="77777777">
            <w:pPr>
              <w:pStyle w:val="ListParagraph"/>
              <w:numPr>
                <w:ilvl w:val="0"/>
                <w:numId w:val="25"/>
              </w:numPr>
              <w:spacing w:line="276" w:lineRule="auto"/>
            </w:pPr>
            <w:r>
              <w:t xml:space="preserve">Risk and security assessments are based on historical data gathered from systems. </w:t>
            </w:r>
          </w:p>
          <w:p w:rsidR="00753939" w:rsidP="00177F52" w:rsidRDefault="000A30BB" w14:paraId="6BF706FC" w14:textId="00AA286D">
            <w:pPr>
              <w:pStyle w:val="ListParagraph"/>
              <w:numPr>
                <w:ilvl w:val="0"/>
                <w:numId w:val="25"/>
              </w:numPr>
              <w:spacing w:line="276" w:lineRule="auto"/>
            </w:pPr>
            <w:r>
              <w:t>Security is shifted left in the DEVOPS</w:t>
            </w:r>
            <w:r w:rsidR="00177F52">
              <w:t>.</w:t>
            </w:r>
          </w:p>
          <w:p w:rsidR="00177F52" w:rsidP="00177F52" w:rsidRDefault="00C93E10" w14:paraId="4E988947" w14:textId="4E3087CA">
            <w:pPr>
              <w:pStyle w:val="ListParagraph"/>
              <w:numPr>
                <w:ilvl w:val="0"/>
                <w:numId w:val="25"/>
              </w:numPr>
              <w:spacing w:line="276" w:lineRule="auto"/>
            </w:pPr>
            <w:r>
              <w:t xml:space="preserve">SOAR </w:t>
            </w:r>
            <w:r w:rsidR="004E65F8">
              <w:t xml:space="preserve">tools </w:t>
            </w:r>
            <w:r w:rsidR="005F392B">
              <w:t xml:space="preserve">implemented </w:t>
            </w:r>
          </w:p>
        </w:tc>
      </w:tr>
      <w:tr w:rsidR="00753939" w:rsidTr="00543E94" w14:paraId="46454515" w14:textId="6F91392B">
        <w:trPr>
          <w:trHeight w:val="720"/>
        </w:trPr>
        <w:tc>
          <w:tcPr>
            <w:tcW w:w="766" w:type="dxa"/>
            <w:shd w:val="clear" w:color="auto" w:fill="00B050"/>
          </w:tcPr>
          <w:p w:rsidR="00753939" w:rsidP="00195578" w:rsidRDefault="00753939" w14:paraId="1A9D63BC" w14:textId="77777777">
            <w:pPr>
              <w:spacing w:after="160" w:line="276" w:lineRule="auto"/>
              <w:jc w:val="center"/>
            </w:pPr>
            <w:r>
              <w:t>5</w:t>
            </w:r>
          </w:p>
        </w:tc>
        <w:tc>
          <w:tcPr>
            <w:tcW w:w="1451" w:type="dxa"/>
            <w:shd w:val="clear" w:color="auto" w:fill="00B050"/>
          </w:tcPr>
          <w:p w:rsidR="00753939" w:rsidP="00195578" w:rsidRDefault="00753939" w14:paraId="2307D0C8" w14:textId="7E584B47">
            <w:pPr>
              <w:spacing w:after="160" w:line="276" w:lineRule="auto"/>
              <w:jc w:val="center"/>
            </w:pPr>
            <w:r>
              <w:t>Optimized</w:t>
            </w:r>
          </w:p>
        </w:tc>
        <w:tc>
          <w:tcPr>
            <w:tcW w:w="4978" w:type="dxa"/>
          </w:tcPr>
          <w:p w:rsidR="00753939" w:rsidP="00195578" w:rsidRDefault="00221F22" w14:paraId="7DE145F2" w14:textId="0AAC32D8">
            <w:pPr>
              <w:spacing w:after="160" w:line="276" w:lineRule="auto"/>
            </w:pPr>
            <w:r>
              <w:t xml:space="preserve">Processes are automated and </w:t>
            </w:r>
            <w:r w:rsidR="002404BA">
              <w:t>analyzed</w:t>
            </w:r>
            <w:r w:rsidR="005F0CD3">
              <w:t xml:space="preserve"> </w:t>
            </w:r>
            <w:r w:rsidR="005358F9">
              <w:t>for continuous improvement</w:t>
            </w:r>
            <w:r w:rsidR="002404BA">
              <w:t xml:space="preserve">.  Security is part of the overall culture.  </w:t>
            </w:r>
          </w:p>
        </w:tc>
        <w:tc>
          <w:tcPr>
            <w:tcW w:w="5760" w:type="dxa"/>
          </w:tcPr>
          <w:p w:rsidR="00753939" w:rsidP="00195578" w:rsidRDefault="00403D02" w14:paraId="314B2AB9" w14:textId="0EB1E33C">
            <w:pPr>
              <w:spacing w:line="276" w:lineRule="auto"/>
            </w:pPr>
            <w:r>
              <w:t xml:space="preserve">Fully implemented </w:t>
            </w:r>
            <w:r w:rsidR="007A0DE1">
              <w:t xml:space="preserve">tools such as </w:t>
            </w:r>
            <w:r>
              <w:t xml:space="preserve">GRC system with automated </w:t>
            </w:r>
            <w:r w:rsidR="007A0DE1">
              <w:t xml:space="preserve">testing and </w:t>
            </w:r>
            <w:r>
              <w:t>attestation of controls</w:t>
            </w:r>
            <w:r w:rsidR="00E26798">
              <w:t xml:space="preserve">, </w:t>
            </w:r>
            <w:r w:rsidR="00AB0532">
              <w:t xml:space="preserve">Identity and Access Management, </w:t>
            </w:r>
            <w:r w:rsidR="00E26798">
              <w:t xml:space="preserve"> </w:t>
            </w:r>
          </w:p>
        </w:tc>
      </w:tr>
    </w:tbl>
    <w:p w:rsidR="00753939" w:rsidP="00435159" w:rsidRDefault="00753939" w14:paraId="173C7905" w14:textId="77777777">
      <w:pPr>
        <w:pStyle w:val="Heading3"/>
        <w:jc w:val="center"/>
        <w:sectPr w:rsidR="00753939" w:rsidSect="00E62D5A">
          <w:pgSz w:w="15840" w:h="12240" w:orient="landscape" w:code="1"/>
          <w:pgMar w:top="810" w:right="1440" w:bottom="450" w:left="1440" w:header="720" w:footer="720" w:gutter="0"/>
          <w:cols w:space="720"/>
          <w:docGrid w:linePitch="360"/>
        </w:sectPr>
      </w:pPr>
    </w:p>
    <w:p w:rsidR="00860FAB" w:rsidP="00435159" w:rsidRDefault="00A4097E" w14:paraId="18CB7492" w14:textId="05DEFB3A">
      <w:pPr>
        <w:pStyle w:val="Heading3"/>
        <w:jc w:val="center"/>
      </w:pPr>
      <w:r>
        <w:lastRenderedPageBreak/>
        <w:t>A</w:t>
      </w:r>
      <w:r w:rsidR="00435159">
        <w:t xml:space="preserve">ppendix </w:t>
      </w:r>
      <w:r w:rsidR="00E309B9">
        <w:t>B</w:t>
      </w:r>
      <w:r w:rsidR="00435159">
        <w:t>.</w:t>
      </w:r>
    </w:p>
    <w:p w:rsidRPr="00435159" w:rsidR="00435159" w:rsidP="00435159" w:rsidRDefault="00435159" w14:paraId="3A295E4C" w14:textId="77777777"/>
    <w:p w:rsidR="009D28CC" w:rsidP="009D28CC" w:rsidRDefault="009D28CC" w14:paraId="595F5127" w14:textId="77777777">
      <w:r>
        <w:t xml:space="preserve">Below you will find our list of keys to successfully navigating the NIST 800-53 Controls as a part of our strategy to meet compliance, these goals may change over time as your plan progresses:  </w:t>
      </w:r>
    </w:p>
    <w:p w:rsidRPr="004525BF" w:rsidR="009D28CC" w:rsidP="009D28CC" w:rsidRDefault="009D28CC" w14:paraId="38B91E69" w14:textId="77777777">
      <w:pPr>
        <w:pStyle w:val="ListParagraph"/>
        <w:numPr>
          <w:ilvl w:val="0"/>
          <w:numId w:val="21"/>
        </w:numPr>
        <w:rPr>
          <w:sz w:val="20"/>
        </w:rPr>
      </w:pPr>
      <w:r w:rsidRPr="004525BF">
        <w:rPr>
          <w:sz w:val="20"/>
        </w:rPr>
        <w:t>Understand and document the scope of sensitive information in our organization, this is a key</w:t>
      </w:r>
      <w:r w:rsidRPr="004525BF">
        <w:rPr>
          <w:sz w:val="24"/>
        </w:rPr>
        <w:t xml:space="preserve"> </w:t>
      </w:r>
      <w:r w:rsidRPr="004525BF">
        <w:rPr>
          <w:sz w:val="20"/>
        </w:rPr>
        <w:t>foundational element to understanding what the controls ultimately protect.</w:t>
      </w:r>
    </w:p>
    <w:p w:rsidRPr="004525BF" w:rsidR="009D28CC" w:rsidP="009D28CC" w:rsidRDefault="009D28CC" w14:paraId="30D07970" w14:textId="77777777">
      <w:pPr>
        <w:pStyle w:val="ListParagraph"/>
        <w:numPr>
          <w:ilvl w:val="0"/>
          <w:numId w:val="21"/>
        </w:numPr>
        <w:rPr>
          <w:sz w:val="20"/>
        </w:rPr>
      </w:pPr>
      <w:r w:rsidRPr="004525BF">
        <w:rPr>
          <w:sz w:val="20"/>
        </w:rPr>
        <w:t>Ensure our organization has the functional operators of the controls defined.  This means having Data Owners, Stewards, Privacy Officer, Information Security Officer, as well as other key managerial titles documented as a part of your security plan.</w:t>
      </w:r>
    </w:p>
    <w:p w:rsidRPr="004525BF" w:rsidR="009D28CC" w:rsidP="009D28CC" w:rsidRDefault="009D28CC" w14:paraId="48CF889E" w14:textId="77777777">
      <w:pPr>
        <w:pStyle w:val="ListParagraph"/>
        <w:numPr>
          <w:ilvl w:val="0"/>
          <w:numId w:val="21"/>
        </w:numPr>
        <w:rPr>
          <w:sz w:val="20"/>
        </w:rPr>
      </w:pPr>
      <w:r w:rsidRPr="004525BF">
        <w:rPr>
          <w:sz w:val="20"/>
        </w:rPr>
        <w:t xml:space="preserve">Develop a security plan.  This will demonstrate </w:t>
      </w:r>
      <w:r>
        <w:rPr>
          <w:sz w:val="20"/>
        </w:rPr>
        <w:t xml:space="preserve">the agencies push to implement best proactive security and drive to </w:t>
      </w:r>
      <w:r w:rsidRPr="004525BF">
        <w:rPr>
          <w:sz w:val="20"/>
        </w:rPr>
        <w:t>for continual improvement as well as a means for structuring our security initiatives towards an organized and achievable goal.  It also serves as preliminary evidence of our due diligence.</w:t>
      </w:r>
    </w:p>
    <w:p w:rsidRPr="004525BF" w:rsidR="009D28CC" w:rsidP="009D28CC" w:rsidRDefault="009D28CC" w14:paraId="5CB8E173" w14:textId="77777777">
      <w:pPr>
        <w:pStyle w:val="ListParagraph"/>
        <w:numPr>
          <w:ilvl w:val="0"/>
          <w:numId w:val="21"/>
        </w:numPr>
        <w:rPr>
          <w:sz w:val="20"/>
        </w:rPr>
      </w:pPr>
      <w:r w:rsidRPr="004525BF">
        <w:rPr>
          <w:sz w:val="20"/>
        </w:rPr>
        <w:t xml:space="preserve">Work to ensure that </w:t>
      </w:r>
      <w:r>
        <w:rPr>
          <w:sz w:val="20"/>
        </w:rPr>
        <w:t>agency</w:t>
      </w:r>
      <w:r w:rsidRPr="004525BF">
        <w:rPr>
          <w:sz w:val="20"/>
        </w:rPr>
        <w:t xml:space="preserve"> processes are documented and aligned to each control and sub control.  This will enable </w:t>
      </w:r>
      <w:r>
        <w:rPr>
          <w:sz w:val="20"/>
        </w:rPr>
        <w:t>the agency</w:t>
      </w:r>
      <w:r w:rsidRPr="004525BF">
        <w:rPr>
          <w:sz w:val="20"/>
        </w:rPr>
        <w:t xml:space="preserve"> to know upfront where </w:t>
      </w:r>
      <w:r>
        <w:rPr>
          <w:sz w:val="20"/>
        </w:rPr>
        <w:t>it</w:t>
      </w:r>
      <w:r w:rsidRPr="004525BF">
        <w:rPr>
          <w:sz w:val="20"/>
        </w:rPr>
        <w:t xml:space="preserve"> stand</w:t>
      </w:r>
      <w:r>
        <w:rPr>
          <w:sz w:val="20"/>
        </w:rPr>
        <w:t>s</w:t>
      </w:r>
      <w:r w:rsidRPr="004525BF">
        <w:rPr>
          <w:sz w:val="20"/>
        </w:rPr>
        <w:t xml:space="preserve"> with overall compliance as well as develop </w:t>
      </w:r>
      <w:r>
        <w:rPr>
          <w:sz w:val="20"/>
        </w:rPr>
        <w:t>its</w:t>
      </w:r>
      <w:r w:rsidRPr="004525BF">
        <w:rPr>
          <w:sz w:val="20"/>
        </w:rPr>
        <w:t xml:space="preserve"> Plans OF Action and Milestones (POA</w:t>
      </w:r>
      <w:r>
        <w:rPr>
          <w:sz w:val="20"/>
        </w:rPr>
        <w:t>&amp;</w:t>
      </w:r>
      <w:r w:rsidRPr="004525BF">
        <w:rPr>
          <w:sz w:val="20"/>
        </w:rPr>
        <w:t>Ms).  Work to document each control’s location and evidence</w:t>
      </w:r>
      <w:r>
        <w:rPr>
          <w:sz w:val="20"/>
        </w:rPr>
        <w:t xml:space="preserve"> of implementation and continual review</w:t>
      </w:r>
      <w:r w:rsidRPr="004525BF">
        <w:rPr>
          <w:sz w:val="20"/>
        </w:rPr>
        <w:t xml:space="preserve">.  </w:t>
      </w:r>
    </w:p>
    <w:p w:rsidRPr="004525BF" w:rsidR="009D28CC" w:rsidP="009D28CC" w:rsidRDefault="009D28CC" w14:paraId="3BADE0A1" w14:textId="77777777">
      <w:pPr>
        <w:pStyle w:val="ListParagraph"/>
        <w:numPr>
          <w:ilvl w:val="0"/>
          <w:numId w:val="21"/>
        </w:numPr>
        <w:rPr>
          <w:sz w:val="20"/>
        </w:rPr>
      </w:pPr>
      <w:r w:rsidRPr="004525BF">
        <w:rPr>
          <w:sz w:val="20"/>
        </w:rPr>
        <w:t xml:space="preserve">Document a roadmap to execute </w:t>
      </w:r>
      <w:r>
        <w:rPr>
          <w:sz w:val="20"/>
        </w:rPr>
        <w:t>security</w:t>
      </w:r>
      <w:r w:rsidRPr="004525BF">
        <w:rPr>
          <w:sz w:val="20"/>
        </w:rPr>
        <w:t xml:space="preserve"> POAMs Track the plan, drive towards continual improvement.</w:t>
      </w:r>
    </w:p>
    <w:p w:rsidRPr="004525BF" w:rsidR="009D28CC" w:rsidP="009D28CC" w:rsidRDefault="009D28CC" w14:paraId="188F50E4" w14:textId="77777777">
      <w:pPr>
        <w:pStyle w:val="ListParagraph"/>
        <w:numPr>
          <w:ilvl w:val="0"/>
          <w:numId w:val="21"/>
        </w:numPr>
        <w:rPr>
          <w:sz w:val="20"/>
        </w:rPr>
      </w:pPr>
      <w:r w:rsidRPr="004525BF">
        <w:rPr>
          <w:sz w:val="20"/>
        </w:rPr>
        <w:t xml:space="preserve">Document exceptions where </w:t>
      </w:r>
      <w:r>
        <w:rPr>
          <w:sz w:val="20"/>
        </w:rPr>
        <w:t xml:space="preserve">the agency is unable to </w:t>
      </w:r>
      <w:r w:rsidRPr="004525BF">
        <w:rPr>
          <w:sz w:val="20"/>
        </w:rPr>
        <w:t xml:space="preserve">comply with </w:t>
      </w:r>
      <w:r>
        <w:rPr>
          <w:sz w:val="20"/>
        </w:rPr>
        <w:t xml:space="preserve">controls along with the </w:t>
      </w:r>
      <w:r w:rsidRPr="004525BF">
        <w:rPr>
          <w:sz w:val="20"/>
        </w:rPr>
        <w:t xml:space="preserve">rationale linked to </w:t>
      </w:r>
      <w:r>
        <w:rPr>
          <w:sz w:val="20"/>
        </w:rPr>
        <w:t>the</w:t>
      </w:r>
      <w:r w:rsidRPr="004525BF">
        <w:rPr>
          <w:sz w:val="20"/>
        </w:rPr>
        <w:t xml:space="preserve"> risk management or roadmap as appropriate.   </w:t>
      </w:r>
    </w:p>
    <w:p w:rsidR="009D28CC" w:rsidP="009D28CC" w:rsidRDefault="009D28CC" w14:paraId="4D1EEA7B" w14:textId="77777777">
      <w:pPr>
        <w:pStyle w:val="ListParagraph"/>
        <w:numPr>
          <w:ilvl w:val="0"/>
          <w:numId w:val="21"/>
        </w:numPr>
        <w:rPr>
          <w:sz w:val="20"/>
        </w:rPr>
      </w:pPr>
      <w:r w:rsidRPr="004525BF">
        <w:rPr>
          <w:sz w:val="20"/>
        </w:rPr>
        <w:t>Work with partners to help fortify our overall security posture.</w:t>
      </w:r>
    </w:p>
    <w:p w:rsidR="00202CDA" w:rsidP="009C7491" w:rsidRDefault="00202CDA" w14:paraId="3355A42D" w14:textId="77777777">
      <w:pPr>
        <w:spacing w:line="276" w:lineRule="auto"/>
      </w:pPr>
    </w:p>
    <w:sectPr w:rsidR="00202CDA" w:rsidSect="00AE1610">
      <w:pgSz w:w="1224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906"/>
    <w:multiLevelType w:val="hybridMultilevel"/>
    <w:tmpl w:val="A37697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4C179D"/>
    <w:multiLevelType w:val="hybridMultilevel"/>
    <w:tmpl w:val="44FA8B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A11FD3"/>
    <w:multiLevelType w:val="hybridMultilevel"/>
    <w:tmpl w:val="A306D0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51C2B"/>
    <w:multiLevelType w:val="hybridMultilevel"/>
    <w:tmpl w:val="AA54D1F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CCD3BD8"/>
    <w:multiLevelType w:val="hybridMultilevel"/>
    <w:tmpl w:val="A306D0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BF00CD"/>
    <w:multiLevelType w:val="hybridMultilevel"/>
    <w:tmpl w:val="1B281C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A4D8D"/>
    <w:multiLevelType w:val="hybridMultilevel"/>
    <w:tmpl w:val="B930F82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B1615"/>
    <w:multiLevelType w:val="hybridMultilevel"/>
    <w:tmpl w:val="40C2E1CE"/>
    <w:lvl w:ilvl="0" w:tplc="7B2A6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A307E"/>
    <w:multiLevelType w:val="hybridMultilevel"/>
    <w:tmpl w:val="32B6CD2E"/>
    <w:lvl w:ilvl="0" w:tplc="44D05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4569D"/>
    <w:multiLevelType w:val="hybridMultilevel"/>
    <w:tmpl w:val="07BE3EBA"/>
    <w:lvl w:ilvl="0" w:tplc="FA368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D797A"/>
    <w:multiLevelType w:val="hybridMultilevel"/>
    <w:tmpl w:val="1F7C4B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3343314"/>
    <w:multiLevelType w:val="hybridMultilevel"/>
    <w:tmpl w:val="6FC68B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4226D89"/>
    <w:multiLevelType w:val="hybridMultilevel"/>
    <w:tmpl w:val="2C56428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42799"/>
    <w:multiLevelType w:val="hybridMultilevel"/>
    <w:tmpl w:val="B8565E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1D7569"/>
    <w:multiLevelType w:val="hybridMultilevel"/>
    <w:tmpl w:val="FB28F8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AFF2536"/>
    <w:multiLevelType w:val="hybridMultilevel"/>
    <w:tmpl w:val="AD5C38AC"/>
    <w:lvl w:ilvl="0" w:tplc="A6A0C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83D22"/>
    <w:multiLevelType w:val="hybridMultilevel"/>
    <w:tmpl w:val="3322F242"/>
    <w:lvl w:ilvl="0" w:tplc="0038C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84C0E"/>
    <w:multiLevelType w:val="hybridMultilevel"/>
    <w:tmpl w:val="10F4C78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712E30"/>
    <w:multiLevelType w:val="hybridMultilevel"/>
    <w:tmpl w:val="AA2025F0"/>
    <w:lvl w:ilvl="0" w:tplc="CA56D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77154"/>
    <w:multiLevelType w:val="hybridMultilevel"/>
    <w:tmpl w:val="EE2C8C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F986116"/>
    <w:multiLevelType w:val="hybridMultilevel"/>
    <w:tmpl w:val="A306D0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DF399C"/>
    <w:multiLevelType w:val="hybridMultilevel"/>
    <w:tmpl w:val="BDE6BA0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430254B0"/>
    <w:multiLevelType w:val="hybridMultilevel"/>
    <w:tmpl w:val="65E21E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FD4DE7"/>
    <w:multiLevelType w:val="hybridMultilevel"/>
    <w:tmpl w:val="190C41C2"/>
    <w:lvl w:ilvl="0" w:tplc="5FC47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7B6C22"/>
    <w:multiLevelType w:val="hybridMultilevel"/>
    <w:tmpl w:val="A306D04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28577F"/>
    <w:multiLevelType w:val="hybridMultilevel"/>
    <w:tmpl w:val="B2AE6A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3E12843"/>
    <w:multiLevelType w:val="hybridMultilevel"/>
    <w:tmpl w:val="2C5642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C24958"/>
    <w:multiLevelType w:val="hybridMultilevel"/>
    <w:tmpl w:val="10F4C78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69411F"/>
    <w:multiLevelType w:val="hybridMultilevel"/>
    <w:tmpl w:val="E330523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57383B33"/>
    <w:multiLevelType w:val="hybridMultilevel"/>
    <w:tmpl w:val="10F4C78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5533F7"/>
    <w:multiLevelType w:val="hybridMultilevel"/>
    <w:tmpl w:val="91EA3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F40CD"/>
    <w:multiLevelType w:val="hybridMultilevel"/>
    <w:tmpl w:val="593CA746"/>
    <w:lvl w:ilvl="0" w:tplc="FA368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65D4A"/>
    <w:multiLevelType w:val="hybridMultilevel"/>
    <w:tmpl w:val="487ADD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92CF1"/>
    <w:multiLevelType w:val="hybridMultilevel"/>
    <w:tmpl w:val="C7780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E55F1"/>
    <w:multiLevelType w:val="hybridMultilevel"/>
    <w:tmpl w:val="9C1697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70B472A9"/>
    <w:multiLevelType w:val="hybridMultilevel"/>
    <w:tmpl w:val="0E2E63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4FD6D60"/>
    <w:multiLevelType w:val="hybridMultilevel"/>
    <w:tmpl w:val="C3A2BF2A"/>
    <w:lvl w:ilvl="0" w:tplc="748EC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390B4D"/>
    <w:multiLevelType w:val="hybridMultilevel"/>
    <w:tmpl w:val="7CB0D122"/>
    <w:lvl w:ilvl="0" w:tplc="FA368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A7321F"/>
    <w:multiLevelType w:val="hybridMultilevel"/>
    <w:tmpl w:val="4074F178"/>
    <w:lvl w:ilvl="0" w:tplc="4DAE5EE0">
      <w:start w:val="1"/>
      <w:numFmt w:val="decimal"/>
      <w:lvlText w:val="%1."/>
      <w:lvlJc w:val="left"/>
      <w:pPr>
        <w:ind w:left="720" w:hanging="360"/>
      </w:pPr>
      <w:rPr>
        <w:rFonts w:asciiTheme="minorHAnsi" w:hAnsiTheme="minorHAnsi"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FCD3818"/>
    <w:multiLevelType w:val="hybridMultilevel"/>
    <w:tmpl w:val="07BE3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1439291">
    <w:abstractNumId w:val="33"/>
  </w:num>
  <w:num w:numId="2" w16cid:durableId="272633139">
    <w:abstractNumId w:val="9"/>
  </w:num>
  <w:num w:numId="3" w16cid:durableId="1182625684">
    <w:abstractNumId w:val="31"/>
  </w:num>
  <w:num w:numId="4" w16cid:durableId="88428448">
    <w:abstractNumId w:val="37"/>
  </w:num>
  <w:num w:numId="5" w16cid:durableId="1787234143">
    <w:abstractNumId w:val="1"/>
  </w:num>
  <w:num w:numId="6" w16cid:durableId="1551190272">
    <w:abstractNumId w:val="25"/>
  </w:num>
  <w:num w:numId="7" w16cid:durableId="1048602728">
    <w:abstractNumId w:val="39"/>
  </w:num>
  <w:num w:numId="8" w16cid:durableId="955334553">
    <w:abstractNumId w:val="6"/>
  </w:num>
  <w:num w:numId="9" w16cid:durableId="945045566">
    <w:abstractNumId w:val="24"/>
  </w:num>
  <w:num w:numId="10" w16cid:durableId="1608001021">
    <w:abstractNumId w:val="12"/>
  </w:num>
  <w:num w:numId="11" w16cid:durableId="345444323">
    <w:abstractNumId w:val="2"/>
  </w:num>
  <w:num w:numId="12" w16cid:durableId="785082667">
    <w:abstractNumId w:val="27"/>
  </w:num>
  <w:num w:numId="13" w16cid:durableId="1181049658">
    <w:abstractNumId w:val="26"/>
  </w:num>
  <w:num w:numId="14" w16cid:durableId="1508984442">
    <w:abstractNumId w:val="0"/>
  </w:num>
  <w:num w:numId="15" w16cid:durableId="1337728953">
    <w:abstractNumId w:val="22"/>
  </w:num>
  <w:num w:numId="16" w16cid:durableId="108747929">
    <w:abstractNumId w:val="13"/>
  </w:num>
  <w:num w:numId="17" w16cid:durableId="533230556">
    <w:abstractNumId w:val="10"/>
  </w:num>
  <w:num w:numId="18" w16cid:durableId="2075471286">
    <w:abstractNumId w:val="30"/>
  </w:num>
  <w:num w:numId="19" w16cid:durableId="1809206468">
    <w:abstractNumId w:val="21"/>
  </w:num>
  <w:num w:numId="20" w16cid:durableId="1805347982">
    <w:abstractNumId w:val="17"/>
  </w:num>
  <w:num w:numId="21" w16cid:durableId="109402964">
    <w:abstractNumId w:val="35"/>
  </w:num>
  <w:num w:numId="22" w16cid:durableId="1333029548">
    <w:abstractNumId w:val="3"/>
  </w:num>
  <w:num w:numId="23" w16cid:durableId="50232812">
    <w:abstractNumId w:val="11"/>
  </w:num>
  <w:num w:numId="24" w16cid:durableId="1972054320">
    <w:abstractNumId w:val="28"/>
  </w:num>
  <w:num w:numId="25" w16cid:durableId="1558197997">
    <w:abstractNumId w:val="34"/>
  </w:num>
  <w:num w:numId="26" w16cid:durableId="241649306">
    <w:abstractNumId w:val="4"/>
  </w:num>
  <w:num w:numId="27" w16cid:durableId="224731131">
    <w:abstractNumId w:val="5"/>
  </w:num>
  <w:num w:numId="28" w16cid:durableId="1205361195">
    <w:abstractNumId w:val="20"/>
  </w:num>
  <w:num w:numId="29" w16cid:durableId="221209969">
    <w:abstractNumId w:val="32"/>
  </w:num>
  <w:num w:numId="30" w16cid:durableId="1432579924">
    <w:abstractNumId w:val="36"/>
  </w:num>
  <w:num w:numId="31" w16cid:durableId="2142260795">
    <w:abstractNumId w:val="38"/>
  </w:num>
  <w:num w:numId="32" w16cid:durableId="863910244">
    <w:abstractNumId w:val="18"/>
  </w:num>
  <w:num w:numId="33" w16cid:durableId="197201103">
    <w:abstractNumId w:val="8"/>
  </w:num>
  <w:num w:numId="34" w16cid:durableId="1206020155">
    <w:abstractNumId w:val="29"/>
  </w:num>
  <w:num w:numId="35" w16cid:durableId="1391801811">
    <w:abstractNumId w:val="14"/>
  </w:num>
  <w:num w:numId="36" w16cid:durableId="1847281267">
    <w:abstractNumId w:val="16"/>
  </w:num>
  <w:num w:numId="37" w16cid:durableId="2044357656">
    <w:abstractNumId w:val="23"/>
  </w:num>
  <w:num w:numId="38" w16cid:durableId="1349602624">
    <w:abstractNumId w:val="15"/>
  </w:num>
  <w:num w:numId="39" w16cid:durableId="840315047">
    <w:abstractNumId w:val="7"/>
  </w:num>
  <w:num w:numId="40" w16cid:durableId="7049139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61"/>
    <w:rsid w:val="000011D1"/>
    <w:rsid w:val="0000218D"/>
    <w:rsid w:val="000038F7"/>
    <w:rsid w:val="00010AC6"/>
    <w:rsid w:val="00014C94"/>
    <w:rsid w:val="00017091"/>
    <w:rsid w:val="00021321"/>
    <w:rsid w:val="00022A76"/>
    <w:rsid w:val="0002590F"/>
    <w:rsid w:val="00025916"/>
    <w:rsid w:val="00026783"/>
    <w:rsid w:val="00030486"/>
    <w:rsid w:val="00032C04"/>
    <w:rsid w:val="00036F46"/>
    <w:rsid w:val="00037424"/>
    <w:rsid w:val="00037C99"/>
    <w:rsid w:val="000401DE"/>
    <w:rsid w:val="00046113"/>
    <w:rsid w:val="000516EE"/>
    <w:rsid w:val="00052049"/>
    <w:rsid w:val="00053AE8"/>
    <w:rsid w:val="000541B3"/>
    <w:rsid w:val="000601AA"/>
    <w:rsid w:val="000616A8"/>
    <w:rsid w:val="00061F5E"/>
    <w:rsid w:val="00063736"/>
    <w:rsid w:val="00065E64"/>
    <w:rsid w:val="000725E1"/>
    <w:rsid w:val="00073712"/>
    <w:rsid w:val="00074884"/>
    <w:rsid w:val="00076FA4"/>
    <w:rsid w:val="000772EE"/>
    <w:rsid w:val="000830F4"/>
    <w:rsid w:val="00083EB9"/>
    <w:rsid w:val="00087BB9"/>
    <w:rsid w:val="00087DDA"/>
    <w:rsid w:val="00087ED7"/>
    <w:rsid w:val="0009021D"/>
    <w:rsid w:val="000914EE"/>
    <w:rsid w:val="000942AD"/>
    <w:rsid w:val="000947F4"/>
    <w:rsid w:val="00096BB5"/>
    <w:rsid w:val="00097E1B"/>
    <w:rsid w:val="00097EDB"/>
    <w:rsid w:val="000A0885"/>
    <w:rsid w:val="000A088F"/>
    <w:rsid w:val="000A22D9"/>
    <w:rsid w:val="000A29ED"/>
    <w:rsid w:val="000A2BEE"/>
    <w:rsid w:val="000A30BB"/>
    <w:rsid w:val="000A41ED"/>
    <w:rsid w:val="000A5213"/>
    <w:rsid w:val="000B0641"/>
    <w:rsid w:val="000B0F45"/>
    <w:rsid w:val="000B3C3D"/>
    <w:rsid w:val="000B48C3"/>
    <w:rsid w:val="000B51E9"/>
    <w:rsid w:val="000B6375"/>
    <w:rsid w:val="000B7E22"/>
    <w:rsid w:val="000C7150"/>
    <w:rsid w:val="000D01A0"/>
    <w:rsid w:val="000D3CC6"/>
    <w:rsid w:val="000D655C"/>
    <w:rsid w:val="000D69E7"/>
    <w:rsid w:val="000D6FAF"/>
    <w:rsid w:val="000E260E"/>
    <w:rsid w:val="000E2AFF"/>
    <w:rsid w:val="000E4923"/>
    <w:rsid w:val="000E561E"/>
    <w:rsid w:val="000E56C3"/>
    <w:rsid w:val="000E5E17"/>
    <w:rsid w:val="000F081F"/>
    <w:rsid w:val="000F2602"/>
    <w:rsid w:val="000F2CEE"/>
    <w:rsid w:val="000F7003"/>
    <w:rsid w:val="000F7D06"/>
    <w:rsid w:val="00103131"/>
    <w:rsid w:val="0010746F"/>
    <w:rsid w:val="00107F48"/>
    <w:rsid w:val="00111EF4"/>
    <w:rsid w:val="00112906"/>
    <w:rsid w:val="00114573"/>
    <w:rsid w:val="0012437F"/>
    <w:rsid w:val="00125E20"/>
    <w:rsid w:val="00127788"/>
    <w:rsid w:val="00127F61"/>
    <w:rsid w:val="001314A4"/>
    <w:rsid w:val="001333D3"/>
    <w:rsid w:val="00133F6F"/>
    <w:rsid w:val="00135163"/>
    <w:rsid w:val="00135DED"/>
    <w:rsid w:val="001367C5"/>
    <w:rsid w:val="00137C6C"/>
    <w:rsid w:val="001432D4"/>
    <w:rsid w:val="00144029"/>
    <w:rsid w:val="001456CF"/>
    <w:rsid w:val="00151479"/>
    <w:rsid w:val="001535A2"/>
    <w:rsid w:val="00154692"/>
    <w:rsid w:val="00160CD3"/>
    <w:rsid w:val="0016393F"/>
    <w:rsid w:val="00163E4D"/>
    <w:rsid w:val="00166300"/>
    <w:rsid w:val="00166BEC"/>
    <w:rsid w:val="00170B16"/>
    <w:rsid w:val="00177A46"/>
    <w:rsid w:val="00177B9F"/>
    <w:rsid w:val="00177F52"/>
    <w:rsid w:val="00180E17"/>
    <w:rsid w:val="00184FE5"/>
    <w:rsid w:val="001860C9"/>
    <w:rsid w:val="001905BD"/>
    <w:rsid w:val="00191381"/>
    <w:rsid w:val="00193E5C"/>
    <w:rsid w:val="00195578"/>
    <w:rsid w:val="00197672"/>
    <w:rsid w:val="001978E6"/>
    <w:rsid w:val="001A1482"/>
    <w:rsid w:val="001A5A3F"/>
    <w:rsid w:val="001A6DD9"/>
    <w:rsid w:val="001B053C"/>
    <w:rsid w:val="001B31B4"/>
    <w:rsid w:val="001B680E"/>
    <w:rsid w:val="001C26D4"/>
    <w:rsid w:val="001C456D"/>
    <w:rsid w:val="001C5768"/>
    <w:rsid w:val="001C7DDC"/>
    <w:rsid w:val="001C7F49"/>
    <w:rsid w:val="001D065D"/>
    <w:rsid w:val="001D3FFA"/>
    <w:rsid w:val="001D44DB"/>
    <w:rsid w:val="001F0B5F"/>
    <w:rsid w:val="001F18C3"/>
    <w:rsid w:val="002011DA"/>
    <w:rsid w:val="0020186B"/>
    <w:rsid w:val="00202CDA"/>
    <w:rsid w:val="00203E81"/>
    <w:rsid w:val="0020588D"/>
    <w:rsid w:val="00205EA1"/>
    <w:rsid w:val="00206E37"/>
    <w:rsid w:val="00207103"/>
    <w:rsid w:val="00211F46"/>
    <w:rsid w:val="0021289E"/>
    <w:rsid w:val="00221F22"/>
    <w:rsid w:val="00223F49"/>
    <w:rsid w:val="00224667"/>
    <w:rsid w:val="00232FCA"/>
    <w:rsid w:val="00236965"/>
    <w:rsid w:val="002404BA"/>
    <w:rsid w:val="00247252"/>
    <w:rsid w:val="002508EA"/>
    <w:rsid w:val="00261879"/>
    <w:rsid w:val="002619F6"/>
    <w:rsid w:val="00262FA4"/>
    <w:rsid w:val="00264167"/>
    <w:rsid w:val="002669D4"/>
    <w:rsid w:val="00267A1E"/>
    <w:rsid w:val="00270A2E"/>
    <w:rsid w:val="0027325B"/>
    <w:rsid w:val="00275081"/>
    <w:rsid w:val="00276043"/>
    <w:rsid w:val="0027779D"/>
    <w:rsid w:val="0028445B"/>
    <w:rsid w:val="00284469"/>
    <w:rsid w:val="002850F4"/>
    <w:rsid w:val="00285B6F"/>
    <w:rsid w:val="00291C81"/>
    <w:rsid w:val="00295145"/>
    <w:rsid w:val="002954FE"/>
    <w:rsid w:val="002962C3"/>
    <w:rsid w:val="002A0B7E"/>
    <w:rsid w:val="002A15E3"/>
    <w:rsid w:val="002A2F0F"/>
    <w:rsid w:val="002A49CD"/>
    <w:rsid w:val="002A4B19"/>
    <w:rsid w:val="002A523F"/>
    <w:rsid w:val="002A77E7"/>
    <w:rsid w:val="002B0123"/>
    <w:rsid w:val="002B0620"/>
    <w:rsid w:val="002B2436"/>
    <w:rsid w:val="002B370B"/>
    <w:rsid w:val="002B4449"/>
    <w:rsid w:val="002B582F"/>
    <w:rsid w:val="002C1249"/>
    <w:rsid w:val="002C7884"/>
    <w:rsid w:val="002D0314"/>
    <w:rsid w:val="002D3E19"/>
    <w:rsid w:val="002D5DD2"/>
    <w:rsid w:val="002D6708"/>
    <w:rsid w:val="002D72CE"/>
    <w:rsid w:val="002D7F55"/>
    <w:rsid w:val="002E0D28"/>
    <w:rsid w:val="002E1D07"/>
    <w:rsid w:val="002E25C1"/>
    <w:rsid w:val="002E2E57"/>
    <w:rsid w:val="002E460E"/>
    <w:rsid w:val="002E4F8F"/>
    <w:rsid w:val="002E584B"/>
    <w:rsid w:val="002E6203"/>
    <w:rsid w:val="002E7526"/>
    <w:rsid w:val="002F3910"/>
    <w:rsid w:val="002F4848"/>
    <w:rsid w:val="002F7FF9"/>
    <w:rsid w:val="00300FD8"/>
    <w:rsid w:val="003012E1"/>
    <w:rsid w:val="00302AB7"/>
    <w:rsid w:val="00303E42"/>
    <w:rsid w:val="003073D9"/>
    <w:rsid w:val="003102EC"/>
    <w:rsid w:val="00310790"/>
    <w:rsid w:val="00310A79"/>
    <w:rsid w:val="003141E5"/>
    <w:rsid w:val="00314365"/>
    <w:rsid w:val="00316AAA"/>
    <w:rsid w:val="003201D3"/>
    <w:rsid w:val="00323741"/>
    <w:rsid w:val="00327DC5"/>
    <w:rsid w:val="00330A3A"/>
    <w:rsid w:val="00333E66"/>
    <w:rsid w:val="003342A5"/>
    <w:rsid w:val="00334446"/>
    <w:rsid w:val="003364B0"/>
    <w:rsid w:val="003401CA"/>
    <w:rsid w:val="003412E8"/>
    <w:rsid w:val="00341B7E"/>
    <w:rsid w:val="003421AF"/>
    <w:rsid w:val="00343110"/>
    <w:rsid w:val="00343D09"/>
    <w:rsid w:val="00347149"/>
    <w:rsid w:val="00362179"/>
    <w:rsid w:val="00362335"/>
    <w:rsid w:val="00363412"/>
    <w:rsid w:val="0036710D"/>
    <w:rsid w:val="003708FF"/>
    <w:rsid w:val="003720E4"/>
    <w:rsid w:val="003726E2"/>
    <w:rsid w:val="00373586"/>
    <w:rsid w:val="003743A6"/>
    <w:rsid w:val="00374ADD"/>
    <w:rsid w:val="003765C3"/>
    <w:rsid w:val="00377AB6"/>
    <w:rsid w:val="00380266"/>
    <w:rsid w:val="00384C5F"/>
    <w:rsid w:val="0038531B"/>
    <w:rsid w:val="00385377"/>
    <w:rsid w:val="003865F0"/>
    <w:rsid w:val="00387C03"/>
    <w:rsid w:val="00391780"/>
    <w:rsid w:val="003918D6"/>
    <w:rsid w:val="0039317B"/>
    <w:rsid w:val="003943F2"/>
    <w:rsid w:val="003A1D77"/>
    <w:rsid w:val="003A38FC"/>
    <w:rsid w:val="003B3C97"/>
    <w:rsid w:val="003B49C5"/>
    <w:rsid w:val="003B4DED"/>
    <w:rsid w:val="003B4E1A"/>
    <w:rsid w:val="003B7760"/>
    <w:rsid w:val="003C1C92"/>
    <w:rsid w:val="003C4844"/>
    <w:rsid w:val="003C6347"/>
    <w:rsid w:val="003D3869"/>
    <w:rsid w:val="003D47F7"/>
    <w:rsid w:val="003D64DB"/>
    <w:rsid w:val="003E1734"/>
    <w:rsid w:val="003E3C47"/>
    <w:rsid w:val="003E455C"/>
    <w:rsid w:val="003E5528"/>
    <w:rsid w:val="003E5569"/>
    <w:rsid w:val="003E61FE"/>
    <w:rsid w:val="003F04D6"/>
    <w:rsid w:val="003F68F9"/>
    <w:rsid w:val="00401DF7"/>
    <w:rsid w:val="00403D02"/>
    <w:rsid w:val="0040479D"/>
    <w:rsid w:val="00410897"/>
    <w:rsid w:val="00414926"/>
    <w:rsid w:val="00416498"/>
    <w:rsid w:val="00416DD8"/>
    <w:rsid w:val="00416E0C"/>
    <w:rsid w:val="004228CD"/>
    <w:rsid w:val="00423D00"/>
    <w:rsid w:val="0042508C"/>
    <w:rsid w:val="0042537A"/>
    <w:rsid w:val="00425809"/>
    <w:rsid w:val="00425E16"/>
    <w:rsid w:val="00426A3C"/>
    <w:rsid w:val="00430706"/>
    <w:rsid w:val="0043121B"/>
    <w:rsid w:val="004327A3"/>
    <w:rsid w:val="00435159"/>
    <w:rsid w:val="004373CE"/>
    <w:rsid w:val="00440605"/>
    <w:rsid w:val="00442A09"/>
    <w:rsid w:val="004436E8"/>
    <w:rsid w:val="004443D2"/>
    <w:rsid w:val="0044445F"/>
    <w:rsid w:val="00445795"/>
    <w:rsid w:val="00446847"/>
    <w:rsid w:val="00447A07"/>
    <w:rsid w:val="00447A23"/>
    <w:rsid w:val="00450EDB"/>
    <w:rsid w:val="00452556"/>
    <w:rsid w:val="00454906"/>
    <w:rsid w:val="00456208"/>
    <w:rsid w:val="00456D55"/>
    <w:rsid w:val="00456F63"/>
    <w:rsid w:val="00460B81"/>
    <w:rsid w:val="00461B3A"/>
    <w:rsid w:val="00467C49"/>
    <w:rsid w:val="00473275"/>
    <w:rsid w:val="00474E1D"/>
    <w:rsid w:val="004812AB"/>
    <w:rsid w:val="0048224E"/>
    <w:rsid w:val="004854EF"/>
    <w:rsid w:val="0048756C"/>
    <w:rsid w:val="004904A3"/>
    <w:rsid w:val="00491124"/>
    <w:rsid w:val="00493F3E"/>
    <w:rsid w:val="004A1170"/>
    <w:rsid w:val="004A1B11"/>
    <w:rsid w:val="004A3786"/>
    <w:rsid w:val="004A43D1"/>
    <w:rsid w:val="004A5311"/>
    <w:rsid w:val="004B0A7E"/>
    <w:rsid w:val="004B2A06"/>
    <w:rsid w:val="004B2B3B"/>
    <w:rsid w:val="004B4E4C"/>
    <w:rsid w:val="004B76C2"/>
    <w:rsid w:val="004B7BCD"/>
    <w:rsid w:val="004C1451"/>
    <w:rsid w:val="004C1EAA"/>
    <w:rsid w:val="004C405B"/>
    <w:rsid w:val="004C61A0"/>
    <w:rsid w:val="004C6CDF"/>
    <w:rsid w:val="004D05FF"/>
    <w:rsid w:val="004D11EB"/>
    <w:rsid w:val="004D1CF2"/>
    <w:rsid w:val="004D1FAC"/>
    <w:rsid w:val="004D203C"/>
    <w:rsid w:val="004D2D8E"/>
    <w:rsid w:val="004D314A"/>
    <w:rsid w:val="004D4102"/>
    <w:rsid w:val="004D5799"/>
    <w:rsid w:val="004D6261"/>
    <w:rsid w:val="004E108A"/>
    <w:rsid w:val="004E4D17"/>
    <w:rsid w:val="004E65F8"/>
    <w:rsid w:val="004E682A"/>
    <w:rsid w:val="004E6DE6"/>
    <w:rsid w:val="004E7167"/>
    <w:rsid w:val="004F5A95"/>
    <w:rsid w:val="004F7FA2"/>
    <w:rsid w:val="00502298"/>
    <w:rsid w:val="00502457"/>
    <w:rsid w:val="0050457B"/>
    <w:rsid w:val="00507E96"/>
    <w:rsid w:val="0051017B"/>
    <w:rsid w:val="00510BD6"/>
    <w:rsid w:val="00511D48"/>
    <w:rsid w:val="005123BA"/>
    <w:rsid w:val="0051302B"/>
    <w:rsid w:val="005144D6"/>
    <w:rsid w:val="0051533B"/>
    <w:rsid w:val="0052034C"/>
    <w:rsid w:val="0052123A"/>
    <w:rsid w:val="0052212C"/>
    <w:rsid w:val="00523326"/>
    <w:rsid w:val="005269ED"/>
    <w:rsid w:val="00527AF1"/>
    <w:rsid w:val="00530272"/>
    <w:rsid w:val="00530E19"/>
    <w:rsid w:val="005358F9"/>
    <w:rsid w:val="00537D7B"/>
    <w:rsid w:val="00543884"/>
    <w:rsid w:val="00543E94"/>
    <w:rsid w:val="005503C9"/>
    <w:rsid w:val="00550F7A"/>
    <w:rsid w:val="00553C3C"/>
    <w:rsid w:val="00557581"/>
    <w:rsid w:val="00557F58"/>
    <w:rsid w:val="00561388"/>
    <w:rsid w:val="00561DA7"/>
    <w:rsid w:val="00565210"/>
    <w:rsid w:val="00567731"/>
    <w:rsid w:val="00567CFC"/>
    <w:rsid w:val="005731B0"/>
    <w:rsid w:val="005732B2"/>
    <w:rsid w:val="00573BED"/>
    <w:rsid w:val="005776EA"/>
    <w:rsid w:val="0058273F"/>
    <w:rsid w:val="00584730"/>
    <w:rsid w:val="00585B9A"/>
    <w:rsid w:val="005864D1"/>
    <w:rsid w:val="00587AA4"/>
    <w:rsid w:val="00590134"/>
    <w:rsid w:val="00590AD9"/>
    <w:rsid w:val="00590D8F"/>
    <w:rsid w:val="005910F4"/>
    <w:rsid w:val="00592B87"/>
    <w:rsid w:val="00594BC2"/>
    <w:rsid w:val="00595302"/>
    <w:rsid w:val="00595F89"/>
    <w:rsid w:val="005A14D4"/>
    <w:rsid w:val="005A2085"/>
    <w:rsid w:val="005A247F"/>
    <w:rsid w:val="005A3846"/>
    <w:rsid w:val="005B14B1"/>
    <w:rsid w:val="005B18E5"/>
    <w:rsid w:val="005B4719"/>
    <w:rsid w:val="005B7D56"/>
    <w:rsid w:val="005C051D"/>
    <w:rsid w:val="005C099C"/>
    <w:rsid w:val="005C0D80"/>
    <w:rsid w:val="005C200B"/>
    <w:rsid w:val="005C538D"/>
    <w:rsid w:val="005D033F"/>
    <w:rsid w:val="005D0B20"/>
    <w:rsid w:val="005D3305"/>
    <w:rsid w:val="005D3367"/>
    <w:rsid w:val="005D46D5"/>
    <w:rsid w:val="005D5F0C"/>
    <w:rsid w:val="005E1487"/>
    <w:rsid w:val="005E262F"/>
    <w:rsid w:val="005E403E"/>
    <w:rsid w:val="005E5103"/>
    <w:rsid w:val="005F0CD3"/>
    <w:rsid w:val="005F143A"/>
    <w:rsid w:val="005F388B"/>
    <w:rsid w:val="005F392B"/>
    <w:rsid w:val="00600494"/>
    <w:rsid w:val="006024E0"/>
    <w:rsid w:val="0060477E"/>
    <w:rsid w:val="006068E6"/>
    <w:rsid w:val="00606A5B"/>
    <w:rsid w:val="00611D6C"/>
    <w:rsid w:val="00613F02"/>
    <w:rsid w:val="006146BF"/>
    <w:rsid w:val="00614B11"/>
    <w:rsid w:val="00614D71"/>
    <w:rsid w:val="00617B7B"/>
    <w:rsid w:val="00622A68"/>
    <w:rsid w:val="006252A7"/>
    <w:rsid w:val="006277B5"/>
    <w:rsid w:val="00631865"/>
    <w:rsid w:val="0063513E"/>
    <w:rsid w:val="006411E0"/>
    <w:rsid w:val="00642940"/>
    <w:rsid w:val="00643700"/>
    <w:rsid w:val="00643A7D"/>
    <w:rsid w:val="00646CC5"/>
    <w:rsid w:val="00652227"/>
    <w:rsid w:val="00657B43"/>
    <w:rsid w:val="00666252"/>
    <w:rsid w:val="006679DE"/>
    <w:rsid w:val="00671964"/>
    <w:rsid w:val="00671FE4"/>
    <w:rsid w:val="0067285C"/>
    <w:rsid w:val="00673C42"/>
    <w:rsid w:val="00673F27"/>
    <w:rsid w:val="00677EC8"/>
    <w:rsid w:val="00681523"/>
    <w:rsid w:val="00685EF6"/>
    <w:rsid w:val="0069256C"/>
    <w:rsid w:val="0069784D"/>
    <w:rsid w:val="006A11FD"/>
    <w:rsid w:val="006A1437"/>
    <w:rsid w:val="006A35AF"/>
    <w:rsid w:val="006A3BCF"/>
    <w:rsid w:val="006A43D9"/>
    <w:rsid w:val="006A54D3"/>
    <w:rsid w:val="006A6CA9"/>
    <w:rsid w:val="006A77BE"/>
    <w:rsid w:val="006A7F90"/>
    <w:rsid w:val="006B248C"/>
    <w:rsid w:val="006B6060"/>
    <w:rsid w:val="006B624C"/>
    <w:rsid w:val="006B7624"/>
    <w:rsid w:val="006C01E6"/>
    <w:rsid w:val="006C1355"/>
    <w:rsid w:val="006D04EC"/>
    <w:rsid w:val="006D2A38"/>
    <w:rsid w:val="006D2C0C"/>
    <w:rsid w:val="006D2ED3"/>
    <w:rsid w:val="006D2FA2"/>
    <w:rsid w:val="006D39DC"/>
    <w:rsid w:val="006E0DA1"/>
    <w:rsid w:val="006E1681"/>
    <w:rsid w:val="006E431D"/>
    <w:rsid w:val="006E4C52"/>
    <w:rsid w:val="006E65E1"/>
    <w:rsid w:val="006F0FDF"/>
    <w:rsid w:val="006F3E96"/>
    <w:rsid w:val="006F52AB"/>
    <w:rsid w:val="006F5ABC"/>
    <w:rsid w:val="006F5F7E"/>
    <w:rsid w:val="006F6029"/>
    <w:rsid w:val="006F6A6F"/>
    <w:rsid w:val="00700D09"/>
    <w:rsid w:val="0070307A"/>
    <w:rsid w:val="00703FF0"/>
    <w:rsid w:val="00704805"/>
    <w:rsid w:val="00704B35"/>
    <w:rsid w:val="00711E14"/>
    <w:rsid w:val="00713698"/>
    <w:rsid w:val="00713B5B"/>
    <w:rsid w:val="007160C4"/>
    <w:rsid w:val="0072027D"/>
    <w:rsid w:val="00722067"/>
    <w:rsid w:val="00722D1C"/>
    <w:rsid w:val="00723ABC"/>
    <w:rsid w:val="00723FE1"/>
    <w:rsid w:val="00725C8A"/>
    <w:rsid w:val="00727C80"/>
    <w:rsid w:val="007351DB"/>
    <w:rsid w:val="00737D5F"/>
    <w:rsid w:val="00741D4C"/>
    <w:rsid w:val="00753939"/>
    <w:rsid w:val="00753DDA"/>
    <w:rsid w:val="00755ADC"/>
    <w:rsid w:val="00755D1A"/>
    <w:rsid w:val="00761AEC"/>
    <w:rsid w:val="00764C80"/>
    <w:rsid w:val="007650CA"/>
    <w:rsid w:val="0076551F"/>
    <w:rsid w:val="00765846"/>
    <w:rsid w:val="00767C80"/>
    <w:rsid w:val="007734E3"/>
    <w:rsid w:val="00773E7D"/>
    <w:rsid w:val="00775FD1"/>
    <w:rsid w:val="00781FCF"/>
    <w:rsid w:val="0078279B"/>
    <w:rsid w:val="00782944"/>
    <w:rsid w:val="00784676"/>
    <w:rsid w:val="0079007E"/>
    <w:rsid w:val="0079143E"/>
    <w:rsid w:val="00791B93"/>
    <w:rsid w:val="007940CC"/>
    <w:rsid w:val="00797905"/>
    <w:rsid w:val="007A0193"/>
    <w:rsid w:val="007A0DE1"/>
    <w:rsid w:val="007A2E8C"/>
    <w:rsid w:val="007B3ED3"/>
    <w:rsid w:val="007B5363"/>
    <w:rsid w:val="007B6059"/>
    <w:rsid w:val="007B627B"/>
    <w:rsid w:val="007C1B79"/>
    <w:rsid w:val="007C480F"/>
    <w:rsid w:val="007C69B8"/>
    <w:rsid w:val="007C7374"/>
    <w:rsid w:val="007C7511"/>
    <w:rsid w:val="007D10AD"/>
    <w:rsid w:val="007D6501"/>
    <w:rsid w:val="007D7993"/>
    <w:rsid w:val="007E0645"/>
    <w:rsid w:val="007E0FBE"/>
    <w:rsid w:val="007E1047"/>
    <w:rsid w:val="007E1318"/>
    <w:rsid w:val="007E5C59"/>
    <w:rsid w:val="007E6C78"/>
    <w:rsid w:val="007E7DB7"/>
    <w:rsid w:val="007F1DD5"/>
    <w:rsid w:val="007F2C62"/>
    <w:rsid w:val="007F449E"/>
    <w:rsid w:val="007F463A"/>
    <w:rsid w:val="007F50E0"/>
    <w:rsid w:val="008002B3"/>
    <w:rsid w:val="008010C0"/>
    <w:rsid w:val="00802162"/>
    <w:rsid w:val="00803E9C"/>
    <w:rsid w:val="0081014C"/>
    <w:rsid w:val="00810947"/>
    <w:rsid w:val="00810ACF"/>
    <w:rsid w:val="008111D6"/>
    <w:rsid w:val="00812582"/>
    <w:rsid w:val="00813FC8"/>
    <w:rsid w:val="008157EA"/>
    <w:rsid w:val="00816E78"/>
    <w:rsid w:val="00820EA2"/>
    <w:rsid w:val="00822BD8"/>
    <w:rsid w:val="00822C18"/>
    <w:rsid w:val="00827723"/>
    <w:rsid w:val="0083175F"/>
    <w:rsid w:val="00836C1C"/>
    <w:rsid w:val="00837461"/>
    <w:rsid w:val="00837A01"/>
    <w:rsid w:val="0084005A"/>
    <w:rsid w:val="008435E5"/>
    <w:rsid w:val="008449D0"/>
    <w:rsid w:val="00844E00"/>
    <w:rsid w:val="00845459"/>
    <w:rsid w:val="00846E02"/>
    <w:rsid w:val="00847C9B"/>
    <w:rsid w:val="00850ED5"/>
    <w:rsid w:val="00851AED"/>
    <w:rsid w:val="00853529"/>
    <w:rsid w:val="00860FAB"/>
    <w:rsid w:val="00861B39"/>
    <w:rsid w:val="0086403D"/>
    <w:rsid w:val="008714D1"/>
    <w:rsid w:val="00873E42"/>
    <w:rsid w:val="00874C15"/>
    <w:rsid w:val="00875649"/>
    <w:rsid w:val="00875F7E"/>
    <w:rsid w:val="00877B31"/>
    <w:rsid w:val="00877F43"/>
    <w:rsid w:val="00880723"/>
    <w:rsid w:val="00885010"/>
    <w:rsid w:val="008862A0"/>
    <w:rsid w:val="00890D75"/>
    <w:rsid w:val="008939A6"/>
    <w:rsid w:val="008947F5"/>
    <w:rsid w:val="00895E2A"/>
    <w:rsid w:val="00896E5A"/>
    <w:rsid w:val="00897270"/>
    <w:rsid w:val="008A0C5A"/>
    <w:rsid w:val="008A5ADA"/>
    <w:rsid w:val="008A5C4F"/>
    <w:rsid w:val="008A5FFD"/>
    <w:rsid w:val="008A6157"/>
    <w:rsid w:val="008A69C7"/>
    <w:rsid w:val="008A6F4C"/>
    <w:rsid w:val="008A7C7E"/>
    <w:rsid w:val="008A7DE6"/>
    <w:rsid w:val="008B0650"/>
    <w:rsid w:val="008B0E18"/>
    <w:rsid w:val="008B298E"/>
    <w:rsid w:val="008B3929"/>
    <w:rsid w:val="008C22DD"/>
    <w:rsid w:val="008C2408"/>
    <w:rsid w:val="008C5A1F"/>
    <w:rsid w:val="008D1508"/>
    <w:rsid w:val="008D2BC4"/>
    <w:rsid w:val="008D355D"/>
    <w:rsid w:val="008D4665"/>
    <w:rsid w:val="008D497E"/>
    <w:rsid w:val="008D6E60"/>
    <w:rsid w:val="008E06D9"/>
    <w:rsid w:val="008E311D"/>
    <w:rsid w:val="008E3379"/>
    <w:rsid w:val="008E562C"/>
    <w:rsid w:val="008F03BF"/>
    <w:rsid w:val="008F5385"/>
    <w:rsid w:val="008F5CCE"/>
    <w:rsid w:val="008F7F82"/>
    <w:rsid w:val="00903C6C"/>
    <w:rsid w:val="0091419B"/>
    <w:rsid w:val="00914441"/>
    <w:rsid w:val="00915B25"/>
    <w:rsid w:val="009171BF"/>
    <w:rsid w:val="00917B42"/>
    <w:rsid w:val="009232CA"/>
    <w:rsid w:val="00923CAF"/>
    <w:rsid w:val="009244DD"/>
    <w:rsid w:val="009247BA"/>
    <w:rsid w:val="0092523B"/>
    <w:rsid w:val="00930E2C"/>
    <w:rsid w:val="00930F6E"/>
    <w:rsid w:val="00936370"/>
    <w:rsid w:val="0093710E"/>
    <w:rsid w:val="00942B31"/>
    <w:rsid w:val="00942BEB"/>
    <w:rsid w:val="009473A2"/>
    <w:rsid w:val="00950BF7"/>
    <w:rsid w:val="00953DAC"/>
    <w:rsid w:val="00953DC4"/>
    <w:rsid w:val="009600E9"/>
    <w:rsid w:val="00960C7D"/>
    <w:rsid w:val="00960E21"/>
    <w:rsid w:val="009627A0"/>
    <w:rsid w:val="009666F1"/>
    <w:rsid w:val="0097203C"/>
    <w:rsid w:val="009726CF"/>
    <w:rsid w:val="00975AF0"/>
    <w:rsid w:val="00980851"/>
    <w:rsid w:val="009832F5"/>
    <w:rsid w:val="0098445E"/>
    <w:rsid w:val="00985536"/>
    <w:rsid w:val="00987ED6"/>
    <w:rsid w:val="0099465E"/>
    <w:rsid w:val="0099475B"/>
    <w:rsid w:val="00994B5F"/>
    <w:rsid w:val="0099694C"/>
    <w:rsid w:val="009A23D5"/>
    <w:rsid w:val="009A378D"/>
    <w:rsid w:val="009A38E6"/>
    <w:rsid w:val="009A6D88"/>
    <w:rsid w:val="009B023F"/>
    <w:rsid w:val="009B598F"/>
    <w:rsid w:val="009B59AC"/>
    <w:rsid w:val="009B6150"/>
    <w:rsid w:val="009C045C"/>
    <w:rsid w:val="009C45AB"/>
    <w:rsid w:val="009C5E55"/>
    <w:rsid w:val="009C5FC5"/>
    <w:rsid w:val="009C7491"/>
    <w:rsid w:val="009D20FC"/>
    <w:rsid w:val="009D28CC"/>
    <w:rsid w:val="009D4569"/>
    <w:rsid w:val="009D4FE5"/>
    <w:rsid w:val="009D6FCE"/>
    <w:rsid w:val="009D7D17"/>
    <w:rsid w:val="009D7F82"/>
    <w:rsid w:val="009E36DD"/>
    <w:rsid w:val="009E3DDF"/>
    <w:rsid w:val="009E4D97"/>
    <w:rsid w:val="009E598E"/>
    <w:rsid w:val="009F6319"/>
    <w:rsid w:val="009F70CE"/>
    <w:rsid w:val="009F7C32"/>
    <w:rsid w:val="00A003A0"/>
    <w:rsid w:val="00A006B6"/>
    <w:rsid w:val="00A00830"/>
    <w:rsid w:val="00A01A77"/>
    <w:rsid w:val="00A02847"/>
    <w:rsid w:val="00A1201A"/>
    <w:rsid w:val="00A14204"/>
    <w:rsid w:val="00A14506"/>
    <w:rsid w:val="00A16629"/>
    <w:rsid w:val="00A2015D"/>
    <w:rsid w:val="00A20933"/>
    <w:rsid w:val="00A21BB2"/>
    <w:rsid w:val="00A230A6"/>
    <w:rsid w:val="00A33BCB"/>
    <w:rsid w:val="00A3562C"/>
    <w:rsid w:val="00A401ED"/>
    <w:rsid w:val="00A4097E"/>
    <w:rsid w:val="00A41A63"/>
    <w:rsid w:val="00A4321F"/>
    <w:rsid w:val="00A462B2"/>
    <w:rsid w:val="00A4675C"/>
    <w:rsid w:val="00A51A77"/>
    <w:rsid w:val="00A55825"/>
    <w:rsid w:val="00A55F6F"/>
    <w:rsid w:val="00A61A96"/>
    <w:rsid w:val="00A649E3"/>
    <w:rsid w:val="00A71FE3"/>
    <w:rsid w:val="00A7231C"/>
    <w:rsid w:val="00A73C00"/>
    <w:rsid w:val="00A764B2"/>
    <w:rsid w:val="00A80737"/>
    <w:rsid w:val="00A8410F"/>
    <w:rsid w:val="00A85168"/>
    <w:rsid w:val="00A8517B"/>
    <w:rsid w:val="00A85432"/>
    <w:rsid w:val="00A90C71"/>
    <w:rsid w:val="00A95C49"/>
    <w:rsid w:val="00AA0806"/>
    <w:rsid w:val="00AA1B52"/>
    <w:rsid w:val="00AB003E"/>
    <w:rsid w:val="00AB0532"/>
    <w:rsid w:val="00AB0574"/>
    <w:rsid w:val="00AB270A"/>
    <w:rsid w:val="00AB3616"/>
    <w:rsid w:val="00AB6200"/>
    <w:rsid w:val="00AB7406"/>
    <w:rsid w:val="00AC1A57"/>
    <w:rsid w:val="00AC1F06"/>
    <w:rsid w:val="00AC437F"/>
    <w:rsid w:val="00AC49E9"/>
    <w:rsid w:val="00AD0E72"/>
    <w:rsid w:val="00AD20DC"/>
    <w:rsid w:val="00AD3F80"/>
    <w:rsid w:val="00AD56B5"/>
    <w:rsid w:val="00AE1610"/>
    <w:rsid w:val="00AE1F6A"/>
    <w:rsid w:val="00AE24E4"/>
    <w:rsid w:val="00AE6C88"/>
    <w:rsid w:val="00AF08E2"/>
    <w:rsid w:val="00AF1254"/>
    <w:rsid w:val="00AF1DD9"/>
    <w:rsid w:val="00AF23C2"/>
    <w:rsid w:val="00AF4343"/>
    <w:rsid w:val="00AF648B"/>
    <w:rsid w:val="00AF7277"/>
    <w:rsid w:val="00B02174"/>
    <w:rsid w:val="00B03CE2"/>
    <w:rsid w:val="00B106B9"/>
    <w:rsid w:val="00B129DA"/>
    <w:rsid w:val="00B12C32"/>
    <w:rsid w:val="00B13425"/>
    <w:rsid w:val="00B14F62"/>
    <w:rsid w:val="00B208AF"/>
    <w:rsid w:val="00B237C1"/>
    <w:rsid w:val="00B25806"/>
    <w:rsid w:val="00B278E9"/>
    <w:rsid w:val="00B30A77"/>
    <w:rsid w:val="00B30B43"/>
    <w:rsid w:val="00B31A41"/>
    <w:rsid w:val="00B3556A"/>
    <w:rsid w:val="00B37490"/>
    <w:rsid w:val="00B40666"/>
    <w:rsid w:val="00B435BA"/>
    <w:rsid w:val="00B43C43"/>
    <w:rsid w:val="00B4695C"/>
    <w:rsid w:val="00B52D9A"/>
    <w:rsid w:val="00B556AF"/>
    <w:rsid w:val="00B576AD"/>
    <w:rsid w:val="00B6262B"/>
    <w:rsid w:val="00B62685"/>
    <w:rsid w:val="00B627B5"/>
    <w:rsid w:val="00B6577C"/>
    <w:rsid w:val="00B65DB6"/>
    <w:rsid w:val="00B65E2C"/>
    <w:rsid w:val="00B7269B"/>
    <w:rsid w:val="00B753DD"/>
    <w:rsid w:val="00B7555B"/>
    <w:rsid w:val="00B76878"/>
    <w:rsid w:val="00B83875"/>
    <w:rsid w:val="00B83A0C"/>
    <w:rsid w:val="00B846FC"/>
    <w:rsid w:val="00B861E6"/>
    <w:rsid w:val="00B9066C"/>
    <w:rsid w:val="00B91A94"/>
    <w:rsid w:val="00B91DEB"/>
    <w:rsid w:val="00B931B7"/>
    <w:rsid w:val="00B93BCC"/>
    <w:rsid w:val="00B93C50"/>
    <w:rsid w:val="00B96DC2"/>
    <w:rsid w:val="00BA264C"/>
    <w:rsid w:val="00BA489E"/>
    <w:rsid w:val="00BA4BD9"/>
    <w:rsid w:val="00BA5CC9"/>
    <w:rsid w:val="00BA62D1"/>
    <w:rsid w:val="00BA72A0"/>
    <w:rsid w:val="00BB1C09"/>
    <w:rsid w:val="00BB1D9B"/>
    <w:rsid w:val="00BB3C92"/>
    <w:rsid w:val="00BB4B12"/>
    <w:rsid w:val="00BC114E"/>
    <w:rsid w:val="00BC2711"/>
    <w:rsid w:val="00BC2979"/>
    <w:rsid w:val="00BC3F20"/>
    <w:rsid w:val="00BC55CA"/>
    <w:rsid w:val="00BC5636"/>
    <w:rsid w:val="00BC5781"/>
    <w:rsid w:val="00BC57AC"/>
    <w:rsid w:val="00BD0CD8"/>
    <w:rsid w:val="00BD2E46"/>
    <w:rsid w:val="00BD41CD"/>
    <w:rsid w:val="00BE2E4E"/>
    <w:rsid w:val="00BE469B"/>
    <w:rsid w:val="00BE5B70"/>
    <w:rsid w:val="00BE76CE"/>
    <w:rsid w:val="00BF0374"/>
    <w:rsid w:val="00BF1C1F"/>
    <w:rsid w:val="00BF4538"/>
    <w:rsid w:val="00BF6BC0"/>
    <w:rsid w:val="00BF7A26"/>
    <w:rsid w:val="00BF7EE5"/>
    <w:rsid w:val="00C00B74"/>
    <w:rsid w:val="00C02421"/>
    <w:rsid w:val="00C036A1"/>
    <w:rsid w:val="00C11791"/>
    <w:rsid w:val="00C14BDE"/>
    <w:rsid w:val="00C14DDC"/>
    <w:rsid w:val="00C16896"/>
    <w:rsid w:val="00C1692D"/>
    <w:rsid w:val="00C17AA9"/>
    <w:rsid w:val="00C20969"/>
    <w:rsid w:val="00C24F5F"/>
    <w:rsid w:val="00C25FBE"/>
    <w:rsid w:val="00C27103"/>
    <w:rsid w:val="00C355FC"/>
    <w:rsid w:val="00C3768C"/>
    <w:rsid w:val="00C429A3"/>
    <w:rsid w:val="00C434F9"/>
    <w:rsid w:val="00C44454"/>
    <w:rsid w:val="00C47A2A"/>
    <w:rsid w:val="00C51260"/>
    <w:rsid w:val="00C51342"/>
    <w:rsid w:val="00C52308"/>
    <w:rsid w:val="00C56D11"/>
    <w:rsid w:val="00C56E4E"/>
    <w:rsid w:val="00C62A38"/>
    <w:rsid w:val="00C62FF1"/>
    <w:rsid w:val="00C631FE"/>
    <w:rsid w:val="00C6432E"/>
    <w:rsid w:val="00C65D69"/>
    <w:rsid w:val="00C706FE"/>
    <w:rsid w:val="00C75485"/>
    <w:rsid w:val="00C76FDA"/>
    <w:rsid w:val="00C80301"/>
    <w:rsid w:val="00C8349E"/>
    <w:rsid w:val="00C855F1"/>
    <w:rsid w:val="00C87B6A"/>
    <w:rsid w:val="00C9029C"/>
    <w:rsid w:val="00C93E10"/>
    <w:rsid w:val="00C951EF"/>
    <w:rsid w:val="00CA2BE2"/>
    <w:rsid w:val="00CA3CB8"/>
    <w:rsid w:val="00CA4302"/>
    <w:rsid w:val="00CA4A8E"/>
    <w:rsid w:val="00CB1220"/>
    <w:rsid w:val="00CB4489"/>
    <w:rsid w:val="00CB4EA5"/>
    <w:rsid w:val="00CB52F4"/>
    <w:rsid w:val="00CB5EB0"/>
    <w:rsid w:val="00CB5FB4"/>
    <w:rsid w:val="00CC0B65"/>
    <w:rsid w:val="00CC306F"/>
    <w:rsid w:val="00CC574A"/>
    <w:rsid w:val="00CC793F"/>
    <w:rsid w:val="00CD4A3B"/>
    <w:rsid w:val="00CE01FB"/>
    <w:rsid w:val="00CE477D"/>
    <w:rsid w:val="00CE5496"/>
    <w:rsid w:val="00CF1ED6"/>
    <w:rsid w:val="00CF4553"/>
    <w:rsid w:val="00CF672D"/>
    <w:rsid w:val="00CF71C1"/>
    <w:rsid w:val="00D0238C"/>
    <w:rsid w:val="00D03913"/>
    <w:rsid w:val="00D04AC7"/>
    <w:rsid w:val="00D07A68"/>
    <w:rsid w:val="00D139B6"/>
    <w:rsid w:val="00D14FD6"/>
    <w:rsid w:val="00D1663B"/>
    <w:rsid w:val="00D1702F"/>
    <w:rsid w:val="00D26207"/>
    <w:rsid w:val="00D27624"/>
    <w:rsid w:val="00D27ABC"/>
    <w:rsid w:val="00D27FBF"/>
    <w:rsid w:val="00D30704"/>
    <w:rsid w:val="00D337B9"/>
    <w:rsid w:val="00D33C38"/>
    <w:rsid w:val="00D33E14"/>
    <w:rsid w:val="00D35B04"/>
    <w:rsid w:val="00D40C27"/>
    <w:rsid w:val="00D41018"/>
    <w:rsid w:val="00D459FC"/>
    <w:rsid w:val="00D50519"/>
    <w:rsid w:val="00D512C4"/>
    <w:rsid w:val="00D53C92"/>
    <w:rsid w:val="00D556B5"/>
    <w:rsid w:val="00D56B33"/>
    <w:rsid w:val="00D56FB7"/>
    <w:rsid w:val="00D602D4"/>
    <w:rsid w:val="00D608DD"/>
    <w:rsid w:val="00D62589"/>
    <w:rsid w:val="00D64014"/>
    <w:rsid w:val="00D725FB"/>
    <w:rsid w:val="00D7650F"/>
    <w:rsid w:val="00D77E02"/>
    <w:rsid w:val="00D84065"/>
    <w:rsid w:val="00D857B6"/>
    <w:rsid w:val="00D864F6"/>
    <w:rsid w:val="00D87002"/>
    <w:rsid w:val="00D923F8"/>
    <w:rsid w:val="00D97CCC"/>
    <w:rsid w:val="00DA25A7"/>
    <w:rsid w:val="00DA3683"/>
    <w:rsid w:val="00DB54BC"/>
    <w:rsid w:val="00DB7B84"/>
    <w:rsid w:val="00DC39CC"/>
    <w:rsid w:val="00DC3C76"/>
    <w:rsid w:val="00DE082A"/>
    <w:rsid w:val="00DE0CF6"/>
    <w:rsid w:val="00DE28FA"/>
    <w:rsid w:val="00DE5B12"/>
    <w:rsid w:val="00DF0CFA"/>
    <w:rsid w:val="00DF1F22"/>
    <w:rsid w:val="00DF2706"/>
    <w:rsid w:val="00DF768C"/>
    <w:rsid w:val="00E02465"/>
    <w:rsid w:val="00E039E1"/>
    <w:rsid w:val="00E10D12"/>
    <w:rsid w:val="00E12BD8"/>
    <w:rsid w:val="00E12FD6"/>
    <w:rsid w:val="00E13BF0"/>
    <w:rsid w:val="00E14403"/>
    <w:rsid w:val="00E15412"/>
    <w:rsid w:val="00E15D0F"/>
    <w:rsid w:val="00E172B8"/>
    <w:rsid w:val="00E26798"/>
    <w:rsid w:val="00E2686F"/>
    <w:rsid w:val="00E26961"/>
    <w:rsid w:val="00E306E0"/>
    <w:rsid w:val="00E30862"/>
    <w:rsid w:val="00E309B9"/>
    <w:rsid w:val="00E312CF"/>
    <w:rsid w:val="00E403F6"/>
    <w:rsid w:val="00E4095F"/>
    <w:rsid w:val="00E41E18"/>
    <w:rsid w:val="00E44160"/>
    <w:rsid w:val="00E47119"/>
    <w:rsid w:val="00E473A6"/>
    <w:rsid w:val="00E50AAA"/>
    <w:rsid w:val="00E529B2"/>
    <w:rsid w:val="00E52CDA"/>
    <w:rsid w:val="00E53A2F"/>
    <w:rsid w:val="00E547F0"/>
    <w:rsid w:val="00E54E7B"/>
    <w:rsid w:val="00E56017"/>
    <w:rsid w:val="00E62352"/>
    <w:rsid w:val="00E62D5A"/>
    <w:rsid w:val="00E64507"/>
    <w:rsid w:val="00E64E21"/>
    <w:rsid w:val="00E70B70"/>
    <w:rsid w:val="00E70F49"/>
    <w:rsid w:val="00E76255"/>
    <w:rsid w:val="00E81E9E"/>
    <w:rsid w:val="00E82761"/>
    <w:rsid w:val="00E844AD"/>
    <w:rsid w:val="00E846FC"/>
    <w:rsid w:val="00E90C70"/>
    <w:rsid w:val="00E90D51"/>
    <w:rsid w:val="00E91543"/>
    <w:rsid w:val="00E917AB"/>
    <w:rsid w:val="00E9309F"/>
    <w:rsid w:val="00E9393F"/>
    <w:rsid w:val="00E93C68"/>
    <w:rsid w:val="00E94045"/>
    <w:rsid w:val="00E9527B"/>
    <w:rsid w:val="00E95AB1"/>
    <w:rsid w:val="00E97E3F"/>
    <w:rsid w:val="00EA0D57"/>
    <w:rsid w:val="00EA11E2"/>
    <w:rsid w:val="00EB123F"/>
    <w:rsid w:val="00EB1C00"/>
    <w:rsid w:val="00EB5FBD"/>
    <w:rsid w:val="00EC1A69"/>
    <w:rsid w:val="00EC3C6B"/>
    <w:rsid w:val="00ED39D2"/>
    <w:rsid w:val="00ED4BD8"/>
    <w:rsid w:val="00ED611B"/>
    <w:rsid w:val="00EE3F2A"/>
    <w:rsid w:val="00EE442F"/>
    <w:rsid w:val="00EE6FB9"/>
    <w:rsid w:val="00EE795F"/>
    <w:rsid w:val="00EF1C3A"/>
    <w:rsid w:val="00EF2481"/>
    <w:rsid w:val="00EF5618"/>
    <w:rsid w:val="00F016CE"/>
    <w:rsid w:val="00F06B89"/>
    <w:rsid w:val="00F120CE"/>
    <w:rsid w:val="00F13EF6"/>
    <w:rsid w:val="00F14FD9"/>
    <w:rsid w:val="00F16283"/>
    <w:rsid w:val="00F1656C"/>
    <w:rsid w:val="00F16DDD"/>
    <w:rsid w:val="00F201A0"/>
    <w:rsid w:val="00F21DB7"/>
    <w:rsid w:val="00F22F83"/>
    <w:rsid w:val="00F24D15"/>
    <w:rsid w:val="00F254D9"/>
    <w:rsid w:val="00F31F5C"/>
    <w:rsid w:val="00F33A5E"/>
    <w:rsid w:val="00F33DC5"/>
    <w:rsid w:val="00F36C4B"/>
    <w:rsid w:val="00F40EF5"/>
    <w:rsid w:val="00F44B86"/>
    <w:rsid w:val="00F54CF1"/>
    <w:rsid w:val="00F560E3"/>
    <w:rsid w:val="00F571E3"/>
    <w:rsid w:val="00F5742C"/>
    <w:rsid w:val="00F6278B"/>
    <w:rsid w:val="00F629F7"/>
    <w:rsid w:val="00F64C7F"/>
    <w:rsid w:val="00F6604A"/>
    <w:rsid w:val="00F67ACD"/>
    <w:rsid w:val="00F7206E"/>
    <w:rsid w:val="00F75281"/>
    <w:rsid w:val="00F75CB7"/>
    <w:rsid w:val="00F83450"/>
    <w:rsid w:val="00F842E2"/>
    <w:rsid w:val="00F855FC"/>
    <w:rsid w:val="00F85D95"/>
    <w:rsid w:val="00F8747A"/>
    <w:rsid w:val="00F90462"/>
    <w:rsid w:val="00F9090B"/>
    <w:rsid w:val="00F9327A"/>
    <w:rsid w:val="00F93567"/>
    <w:rsid w:val="00F96BCE"/>
    <w:rsid w:val="00FA1E5B"/>
    <w:rsid w:val="00FA475F"/>
    <w:rsid w:val="00FA49CF"/>
    <w:rsid w:val="00FA5D45"/>
    <w:rsid w:val="00FA6DBC"/>
    <w:rsid w:val="00FB0C88"/>
    <w:rsid w:val="00FC0721"/>
    <w:rsid w:val="00FC53A0"/>
    <w:rsid w:val="00FC7A5B"/>
    <w:rsid w:val="00FC7B6B"/>
    <w:rsid w:val="00FD0B3C"/>
    <w:rsid w:val="00FD5C7E"/>
    <w:rsid w:val="00FD71F9"/>
    <w:rsid w:val="00FD7405"/>
    <w:rsid w:val="00FE1033"/>
    <w:rsid w:val="00FE27CD"/>
    <w:rsid w:val="00FE2B81"/>
    <w:rsid w:val="00FE3DBD"/>
    <w:rsid w:val="00FE4D97"/>
    <w:rsid w:val="00FE669E"/>
    <w:rsid w:val="00FE7FAA"/>
    <w:rsid w:val="00FF023C"/>
    <w:rsid w:val="00FF4D9E"/>
    <w:rsid w:val="31C8F488"/>
    <w:rsid w:val="5E66C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AB0A"/>
  <w15:chartTrackingRefBased/>
  <w15:docId w15:val="{9638938A-9E7A-4E84-B089-F4DB4A09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663B"/>
  </w:style>
  <w:style w:type="paragraph" w:styleId="Heading1">
    <w:name w:val="heading 1"/>
    <w:basedOn w:val="Normal"/>
    <w:next w:val="Normal"/>
    <w:link w:val="Heading1Char"/>
    <w:uiPriority w:val="9"/>
    <w:qFormat/>
    <w:rsid w:val="00E64E2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1865"/>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515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30F4"/>
    <w:pPr>
      <w:ind w:left="720"/>
      <w:contextualSpacing/>
    </w:pPr>
  </w:style>
  <w:style w:type="table" w:styleId="TableGrid">
    <w:name w:val="Table Grid"/>
    <w:basedOn w:val="TableNormal"/>
    <w:uiPriority w:val="39"/>
    <w:rsid w:val="008111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631865"/>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E64E21"/>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F571E3"/>
    <w:rPr>
      <w:color w:val="0000FF"/>
      <w:u w:val="single"/>
    </w:rPr>
  </w:style>
  <w:style w:type="character" w:styleId="Heading3Char" w:customStyle="1">
    <w:name w:val="Heading 3 Char"/>
    <w:basedOn w:val="DefaultParagraphFont"/>
    <w:link w:val="Heading3"/>
    <w:uiPriority w:val="9"/>
    <w:rsid w:val="00435159"/>
    <w:rPr>
      <w:rFonts w:asciiTheme="majorHAnsi" w:hAnsiTheme="majorHAnsi" w:eastAsiaTheme="majorEastAsia" w:cstheme="majorBidi"/>
      <w:color w:val="1F3763" w:themeColor="accent1" w:themeShade="7F"/>
      <w:sz w:val="24"/>
      <w:szCs w:val="24"/>
    </w:rPr>
  </w:style>
  <w:style w:type="paragraph" w:styleId="Version" w:customStyle="1">
    <w:name w:val="Version"/>
    <w:basedOn w:val="Normal"/>
    <w:rsid w:val="006679DE"/>
    <w:pPr>
      <w:spacing w:after="0" w:line="240" w:lineRule="auto"/>
      <w:jc w:val="center"/>
    </w:pPr>
    <w:rPr>
      <w:rFonts w:ascii="Times New Roman" w:hAnsi="Times New Roman" w:eastAsia="Times New Roman" w:cs="Times New Roman"/>
      <w:b/>
      <w:bCs/>
      <w:color w:val="FF0000"/>
      <w:sz w:val="24"/>
      <w:szCs w:val="24"/>
    </w:rPr>
  </w:style>
  <w:style w:type="character" w:styleId="FollowedHyperlink">
    <w:name w:val="FollowedHyperlink"/>
    <w:basedOn w:val="DefaultParagraphFont"/>
    <w:uiPriority w:val="99"/>
    <w:semiHidden/>
    <w:unhideWhenUsed/>
    <w:rsid w:val="007C1B79"/>
    <w:rPr>
      <w:color w:val="954F72" w:themeColor="followedHyperlink"/>
      <w:u w:val="single"/>
    </w:rPr>
  </w:style>
  <w:style w:type="character" w:styleId="CommentReference">
    <w:name w:val="annotation reference"/>
    <w:basedOn w:val="DefaultParagraphFont"/>
    <w:uiPriority w:val="99"/>
    <w:semiHidden/>
    <w:unhideWhenUsed/>
    <w:rsid w:val="00CE01FB"/>
    <w:rPr>
      <w:sz w:val="16"/>
      <w:szCs w:val="16"/>
    </w:rPr>
  </w:style>
  <w:style w:type="paragraph" w:styleId="CommentText">
    <w:name w:val="annotation text"/>
    <w:basedOn w:val="Normal"/>
    <w:link w:val="CommentTextChar"/>
    <w:uiPriority w:val="99"/>
    <w:semiHidden/>
    <w:unhideWhenUsed/>
    <w:rsid w:val="00CE01FB"/>
    <w:pPr>
      <w:spacing w:line="240" w:lineRule="auto"/>
    </w:pPr>
    <w:rPr>
      <w:sz w:val="20"/>
      <w:szCs w:val="20"/>
    </w:rPr>
  </w:style>
  <w:style w:type="character" w:styleId="CommentTextChar" w:customStyle="1">
    <w:name w:val="Comment Text Char"/>
    <w:basedOn w:val="DefaultParagraphFont"/>
    <w:link w:val="CommentText"/>
    <w:uiPriority w:val="99"/>
    <w:semiHidden/>
    <w:rsid w:val="00CE01FB"/>
    <w:rPr>
      <w:sz w:val="20"/>
      <w:szCs w:val="20"/>
    </w:rPr>
  </w:style>
  <w:style w:type="paragraph" w:styleId="CommentSubject">
    <w:name w:val="annotation subject"/>
    <w:basedOn w:val="CommentText"/>
    <w:next w:val="CommentText"/>
    <w:link w:val="CommentSubjectChar"/>
    <w:uiPriority w:val="99"/>
    <w:semiHidden/>
    <w:unhideWhenUsed/>
    <w:rsid w:val="00CE01FB"/>
    <w:rPr>
      <w:b/>
      <w:bCs/>
    </w:rPr>
  </w:style>
  <w:style w:type="character" w:styleId="CommentSubjectChar" w:customStyle="1">
    <w:name w:val="Comment Subject Char"/>
    <w:basedOn w:val="CommentTextChar"/>
    <w:link w:val="CommentSubject"/>
    <w:uiPriority w:val="99"/>
    <w:semiHidden/>
    <w:rsid w:val="00CE01FB"/>
    <w:rPr>
      <w:b/>
      <w:bCs/>
      <w:sz w:val="20"/>
      <w:szCs w:val="20"/>
    </w:rPr>
  </w:style>
  <w:style w:type="character" w:styleId="UnresolvedMention">
    <w:name w:val="Unresolved Mention"/>
    <w:basedOn w:val="DefaultParagraphFont"/>
    <w:uiPriority w:val="99"/>
    <w:semiHidden/>
    <w:unhideWhenUsed/>
    <w:rsid w:val="00F90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82175">
      <w:bodyDiv w:val="1"/>
      <w:marLeft w:val="0"/>
      <w:marRight w:val="0"/>
      <w:marTop w:val="0"/>
      <w:marBottom w:val="0"/>
      <w:divBdr>
        <w:top w:val="none" w:sz="0" w:space="0" w:color="auto"/>
        <w:left w:val="none" w:sz="0" w:space="0" w:color="auto"/>
        <w:bottom w:val="none" w:sz="0" w:space="0" w:color="auto"/>
        <w:right w:val="none" w:sz="0" w:space="0" w:color="auto"/>
      </w:divBdr>
    </w:div>
    <w:div w:id="1330986829">
      <w:bodyDiv w:val="1"/>
      <w:marLeft w:val="0"/>
      <w:marRight w:val="0"/>
      <w:marTop w:val="0"/>
      <w:marBottom w:val="0"/>
      <w:divBdr>
        <w:top w:val="none" w:sz="0" w:space="0" w:color="auto"/>
        <w:left w:val="none" w:sz="0" w:space="0" w:color="auto"/>
        <w:bottom w:val="none" w:sz="0" w:space="0" w:color="auto"/>
        <w:right w:val="none" w:sz="0" w:space="0" w:color="auto"/>
      </w:divBdr>
    </w:div>
    <w:div w:id="1898516193">
      <w:bodyDiv w:val="1"/>
      <w:marLeft w:val="0"/>
      <w:marRight w:val="0"/>
      <w:marTop w:val="0"/>
      <w:marBottom w:val="0"/>
      <w:divBdr>
        <w:top w:val="none" w:sz="0" w:space="0" w:color="auto"/>
        <w:left w:val="none" w:sz="0" w:space="0" w:color="auto"/>
        <w:bottom w:val="none" w:sz="0" w:space="0" w:color="auto"/>
        <w:right w:val="none" w:sz="0" w:space="0" w:color="auto"/>
      </w:divBdr>
      <w:divsChild>
        <w:div w:id="1403873217">
          <w:marLeft w:val="0"/>
          <w:marRight w:val="0"/>
          <w:marTop w:val="0"/>
          <w:marBottom w:val="0"/>
          <w:divBdr>
            <w:top w:val="none" w:sz="0" w:space="0" w:color="auto"/>
            <w:left w:val="none" w:sz="0" w:space="0" w:color="auto"/>
            <w:bottom w:val="none" w:sz="0" w:space="0" w:color="auto"/>
            <w:right w:val="none" w:sz="0" w:space="0" w:color="auto"/>
          </w:divBdr>
        </w:div>
        <w:div w:id="1104568896">
          <w:marLeft w:val="0"/>
          <w:marRight w:val="0"/>
          <w:marTop w:val="0"/>
          <w:marBottom w:val="0"/>
          <w:divBdr>
            <w:top w:val="none" w:sz="0" w:space="0" w:color="auto"/>
            <w:left w:val="none" w:sz="0" w:space="0" w:color="auto"/>
            <w:bottom w:val="none" w:sz="0" w:space="0" w:color="auto"/>
            <w:right w:val="none" w:sz="0" w:space="0" w:color="auto"/>
          </w:divBdr>
        </w:div>
        <w:div w:id="377508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docs.tenable.com/tenablesc/Content/AddTemplateDashboard.ht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cs.microsoft.com/en-us/power-apps/teams/milestones" TargetMode="External" Id="rId11" /><Relationship Type="http://schemas.openxmlformats.org/officeDocument/2006/relationships/numbering" Target="numbering.xml" Id="rId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96923E25266479A60E98746573A73" ma:contentTypeVersion="6" ma:contentTypeDescription="Create a new document." ma:contentTypeScope="" ma:versionID="9b5c1b955b2dea0d1ab386d1ee37a405">
  <xsd:schema xmlns:xsd="http://www.w3.org/2001/XMLSchema" xmlns:xs="http://www.w3.org/2001/XMLSchema" xmlns:p="http://schemas.microsoft.com/office/2006/metadata/properties" xmlns:ns2="221cc232-c4b2-4d7f-94b2-4e0da4713068" xmlns:ns3="be0a8c41-a8f7-4db0-9ccc-3acea744ee4d" targetNamespace="http://schemas.microsoft.com/office/2006/metadata/properties" ma:root="true" ma:fieldsID="e123ee67a3efe023cd3edbbcc532c848" ns2:_="" ns3:_="">
    <xsd:import namespace="221cc232-c4b2-4d7f-94b2-4e0da4713068"/>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cc232-c4b2-4d7f-94b2-4e0da4713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urpose" ma:index="12" nillable="true" ma:displayName="Purpose" ma:internalName="Purpo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rpose xmlns="221cc232-c4b2-4d7f-94b2-4e0da47130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E5326-61E0-477B-BD20-20FCBB9AD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cc232-c4b2-4d7f-94b2-4e0da4713068"/>
    <ds:schemaRef ds:uri="be0a8c41-a8f7-4db0-9ccc-3acea744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ECB70-EB91-4C9E-AB70-E28A38353383}">
  <ds:schemaRefs>
    <ds:schemaRef ds:uri="http://schemas.microsoft.com/office/2006/metadata/properties"/>
    <ds:schemaRef ds:uri="http://schemas.microsoft.com/office/infopath/2007/PartnerControls"/>
    <ds:schemaRef ds:uri="221cc232-c4b2-4d7f-94b2-4e0da4713068"/>
  </ds:schemaRefs>
</ds:datastoreItem>
</file>

<file path=customXml/itemProps3.xml><?xml version="1.0" encoding="utf-8"?>
<ds:datastoreItem xmlns:ds="http://schemas.openxmlformats.org/officeDocument/2006/customXml" ds:itemID="{3AB089D9-A4EF-4C03-9C58-9EEEFA051519}">
  <ds:schemaRefs>
    <ds:schemaRef ds:uri="http://schemas.microsoft.com/sharepoint/v3/contenttype/forms"/>
  </ds:schemaRefs>
</ds:datastoreItem>
</file>

<file path=customXml/itemProps4.xml><?xml version="1.0" encoding="utf-8"?>
<ds:datastoreItem xmlns:ds="http://schemas.openxmlformats.org/officeDocument/2006/customXml" ds:itemID="{826162E2-DD46-456A-8F9D-1193AD1118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Finney, Vince [OITS]</dc:creator>
  <keywords/>
  <dc:description/>
  <lastModifiedBy>Finney, Vince [OITS]</lastModifiedBy>
  <revision>662</revision>
  <dcterms:created xsi:type="dcterms:W3CDTF">2022-06-29T20:10:00.0000000Z</dcterms:created>
  <dcterms:modified xsi:type="dcterms:W3CDTF">2022-10-05T16:35:27.9426410Z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0x01010099596923E25266479A60E98746573A73</vt:lpwstr>
  </property>
</Properties>
</file>